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428497BE" w:rsidR="008F3283" w:rsidRPr="00556F37" w:rsidRDefault="00946496" w:rsidP="00565030">
      <w:pPr>
        <w:pStyle w:val="CRCoverPage"/>
        <w:tabs>
          <w:tab w:val="left" w:pos="1980"/>
        </w:tabs>
        <w:spacing w:line="259" w:lineRule="auto"/>
        <w:jc w:val="both"/>
        <w:rPr>
          <w:rFonts w:eastAsiaTheme="minorHAnsi" w:cs="Arial"/>
          <w:b/>
          <w:bCs/>
          <w:sz w:val="24"/>
          <w:szCs w:val="24"/>
          <w:lang w:val="en-US"/>
        </w:rPr>
      </w:pPr>
      <w:r w:rsidRPr="00556F37">
        <w:rPr>
          <w:rFonts w:eastAsiaTheme="minorHAnsi" w:cs="Arial"/>
          <w:b/>
          <w:bCs/>
          <w:sz w:val="24"/>
          <w:szCs w:val="24"/>
          <w:lang w:val="en-US"/>
        </w:rPr>
        <w:t>3GPP TSG RAN WG1 #</w:t>
      </w:r>
      <w:r w:rsidR="00375359" w:rsidRPr="00556F37">
        <w:rPr>
          <w:rFonts w:eastAsiaTheme="minorHAnsi" w:cs="Arial"/>
          <w:b/>
          <w:bCs/>
          <w:sz w:val="24"/>
          <w:szCs w:val="24"/>
          <w:lang w:val="en-US"/>
        </w:rPr>
        <w:t>10</w:t>
      </w:r>
      <w:r w:rsidR="00C43B96">
        <w:rPr>
          <w:rFonts w:eastAsiaTheme="minorHAnsi" w:cs="Arial"/>
          <w:b/>
          <w:bCs/>
          <w:sz w:val="24"/>
          <w:szCs w:val="24"/>
          <w:lang w:val="en-US"/>
        </w:rPr>
        <w:t>7</w:t>
      </w:r>
      <w:r w:rsidR="001940F5" w:rsidRPr="00556F37">
        <w:rPr>
          <w:rFonts w:eastAsiaTheme="minorHAnsi" w:cs="Arial"/>
          <w:b/>
          <w:bCs/>
          <w:sz w:val="24"/>
          <w:szCs w:val="24"/>
          <w:lang w:val="en-US"/>
        </w:rPr>
        <w:t>-e</w:t>
      </w:r>
      <w:r w:rsidR="008F3283" w:rsidRPr="00556F37">
        <w:rPr>
          <w:rFonts w:eastAsiaTheme="minorHAnsi" w:cs="Arial"/>
          <w:b/>
          <w:bCs/>
          <w:sz w:val="24"/>
          <w:szCs w:val="24"/>
          <w:lang w:val="en-US"/>
        </w:rPr>
        <w:tab/>
      </w:r>
      <w:r w:rsidR="008F3283" w:rsidRPr="00556F37">
        <w:rPr>
          <w:rFonts w:eastAsiaTheme="minorHAnsi" w:cs="Arial"/>
          <w:b/>
          <w:bCs/>
          <w:sz w:val="24"/>
          <w:szCs w:val="24"/>
          <w:lang w:val="en-US"/>
        </w:rPr>
        <w:tab/>
        <w:t xml:space="preserve">                               </w:t>
      </w:r>
      <w:r w:rsidR="00C43B96">
        <w:rPr>
          <w:rFonts w:eastAsiaTheme="minorHAnsi" w:cs="Arial"/>
          <w:b/>
          <w:bCs/>
          <w:sz w:val="24"/>
          <w:szCs w:val="24"/>
          <w:lang w:val="en-US"/>
        </w:rPr>
        <w:t xml:space="preserve">     </w:t>
      </w:r>
      <w:r w:rsidR="004371FB" w:rsidRPr="00556F37">
        <w:rPr>
          <w:rFonts w:eastAsiaTheme="minorHAnsi" w:cs="Arial"/>
          <w:b/>
          <w:bCs/>
          <w:sz w:val="24"/>
          <w:szCs w:val="24"/>
          <w:lang w:val="en-US"/>
        </w:rPr>
        <w:t>R1-</w:t>
      </w:r>
      <w:r w:rsidR="000500A4" w:rsidRPr="00556F37">
        <w:rPr>
          <w:rFonts w:eastAsiaTheme="minorHAnsi" w:cs="Arial"/>
          <w:b/>
          <w:bCs/>
          <w:sz w:val="24"/>
          <w:szCs w:val="24"/>
          <w:lang w:val="en-US"/>
        </w:rPr>
        <w:t>21</w:t>
      </w:r>
      <w:r w:rsidR="001D6CE1">
        <w:rPr>
          <w:rFonts w:eastAsiaTheme="minorHAnsi" w:cs="Arial"/>
          <w:b/>
          <w:bCs/>
          <w:sz w:val="24"/>
          <w:szCs w:val="24"/>
          <w:lang w:val="en-US"/>
        </w:rPr>
        <w:t>11963</w:t>
      </w:r>
    </w:p>
    <w:p w14:paraId="0EEE9A19" w14:textId="7C7A22CA" w:rsidR="00E418BE" w:rsidRPr="00556F37" w:rsidRDefault="00E418BE" w:rsidP="00565030">
      <w:pPr>
        <w:pStyle w:val="CRCoverPage"/>
        <w:tabs>
          <w:tab w:val="left" w:pos="1980"/>
        </w:tabs>
        <w:spacing w:after="0" w:line="259" w:lineRule="auto"/>
        <w:jc w:val="both"/>
        <w:rPr>
          <w:rFonts w:eastAsiaTheme="minorEastAsia" w:cs="Arial"/>
          <w:b/>
          <w:bCs/>
          <w:sz w:val="24"/>
          <w:szCs w:val="22"/>
          <w:lang w:val="en-US" w:eastAsia="ko-KR"/>
        </w:rPr>
      </w:pPr>
      <w:r w:rsidRPr="00556F37">
        <w:rPr>
          <w:rFonts w:eastAsiaTheme="minorEastAsia" w:cs="Arial"/>
          <w:b/>
          <w:bCs/>
          <w:sz w:val="24"/>
          <w:szCs w:val="22"/>
          <w:lang w:val="en-US" w:eastAsia="ko-KR"/>
        </w:rPr>
        <w:t>e-</w:t>
      </w:r>
      <w:r w:rsidRPr="00556F37">
        <w:rPr>
          <w:rFonts w:eastAsiaTheme="minorEastAsia" w:cs="Arial"/>
          <w:b/>
          <w:bCs/>
          <w:sz w:val="24"/>
          <w:szCs w:val="24"/>
          <w:lang w:val="en-US" w:eastAsia="ko-KR"/>
        </w:rPr>
        <w:t xml:space="preserve">Meeting, </w:t>
      </w:r>
      <w:r w:rsidR="00C43B96">
        <w:rPr>
          <w:rFonts w:cs="Arial"/>
          <w:b/>
          <w:bCs/>
          <w:sz w:val="24"/>
          <w:szCs w:val="18"/>
          <w:lang w:eastAsia="ja-JP"/>
        </w:rPr>
        <w:t>November</w:t>
      </w:r>
      <w:r w:rsidR="00556F37" w:rsidRPr="002B0746">
        <w:rPr>
          <w:rFonts w:cs="Arial"/>
          <w:b/>
          <w:bCs/>
          <w:sz w:val="24"/>
          <w:szCs w:val="18"/>
          <w:lang w:eastAsia="ja-JP"/>
        </w:rPr>
        <w:t xml:space="preserve"> 11</w:t>
      </w:r>
      <w:r w:rsidR="00556F37" w:rsidRPr="002B0746">
        <w:rPr>
          <w:rFonts w:cs="Arial"/>
          <w:b/>
          <w:bCs/>
          <w:sz w:val="24"/>
          <w:szCs w:val="18"/>
          <w:vertAlign w:val="superscript"/>
          <w:lang w:eastAsia="ja-JP"/>
        </w:rPr>
        <w:t>th</w:t>
      </w:r>
      <w:r w:rsidR="00556F37" w:rsidRPr="002B0746">
        <w:rPr>
          <w:rFonts w:cs="Arial"/>
          <w:b/>
          <w:bCs/>
          <w:sz w:val="24"/>
          <w:szCs w:val="18"/>
          <w:lang w:eastAsia="ja-JP"/>
        </w:rPr>
        <w:t xml:space="preserve"> – 19</w:t>
      </w:r>
      <w:r w:rsidR="00556F37" w:rsidRPr="002B0746">
        <w:rPr>
          <w:rFonts w:cs="Arial"/>
          <w:b/>
          <w:bCs/>
          <w:sz w:val="24"/>
          <w:szCs w:val="18"/>
          <w:vertAlign w:val="superscript"/>
          <w:lang w:eastAsia="ja-JP"/>
        </w:rPr>
        <w:t>th</w:t>
      </w:r>
      <w:r w:rsidR="00556F37" w:rsidRPr="002B0746">
        <w:rPr>
          <w:rFonts w:cs="Arial"/>
          <w:b/>
          <w:bCs/>
          <w:sz w:val="24"/>
          <w:szCs w:val="18"/>
          <w:lang w:eastAsia="ja-JP"/>
        </w:rPr>
        <w:t>, 2021</w:t>
      </w:r>
    </w:p>
    <w:p w14:paraId="2ADD00D6" w14:textId="77777777" w:rsidR="00690F53" w:rsidRPr="00556F37" w:rsidRDefault="00690F53" w:rsidP="00565030">
      <w:pPr>
        <w:pStyle w:val="CRCoverPage"/>
        <w:tabs>
          <w:tab w:val="left" w:pos="1980"/>
        </w:tabs>
        <w:spacing w:line="259" w:lineRule="auto"/>
        <w:jc w:val="both"/>
        <w:rPr>
          <w:rFonts w:cs="Arial"/>
          <w:b/>
          <w:bCs/>
          <w:sz w:val="24"/>
          <w:szCs w:val="24"/>
          <w:lang w:val="en-US"/>
        </w:rPr>
      </w:pPr>
    </w:p>
    <w:p w14:paraId="6FA141D4" w14:textId="322786B6" w:rsidR="00FA20F7" w:rsidRPr="00556F37" w:rsidRDefault="00FA20F7" w:rsidP="00565030">
      <w:pPr>
        <w:pStyle w:val="CRCoverPage"/>
        <w:tabs>
          <w:tab w:val="left" w:pos="1980"/>
        </w:tabs>
        <w:spacing w:line="259" w:lineRule="auto"/>
        <w:jc w:val="both"/>
        <w:rPr>
          <w:rFonts w:cs="Arial"/>
          <w:b/>
          <w:bCs/>
          <w:sz w:val="24"/>
          <w:szCs w:val="24"/>
          <w:lang w:val="en-US" w:eastAsia="ja-JP"/>
        </w:rPr>
      </w:pPr>
      <w:r w:rsidRPr="00556F37">
        <w:rPr>
          <w:rFonts w:cs="Arial"/>
          <w:b/>
          <w:bCs/>
          <w:sz w:val="24"/>
          <w:szCs w:val="24"/>
          <w:lang w:val="en-US"/>
        </w:rPr>
        <w:t>Agenda Item:</w:t>
      </w:r>
      <w:r w:rsidRPr="00556F37">
        <w:rPr>
          <w:rFonts w:cs="Arial"/>
          <w:b/>
          <w:bCs/>
          <w:sz w:val="24"/>
          <w:szCs w:val="24"/>
          <w:lang w:val="en-US"/>
        </w:rPr>
        <w:tab/>
      </w:r>
      <w:r w:rsidR="000364B5" w:rsidRPr="00556F37">
        <w:rPr>
          <w:rFonts w:cs="Arial"/>
          <w:b/>
          <w:bCs/>
          <w:sz w:val="24"/>
          <w:szCs w:val="24"/>
          <w:lang w:val="en-US"/>
        </w:rPr>
        <w:t>8.</w:t>
      </w:r>
      <w:r w:rsidR="002D7BDB" w:rsidRPr="00556F37">
        <w:rPr>
          <w:rFonts w:cs="Arial"/>
          <w:b/>
          <w:bCs/>
          <w:sz w:val="24"/>
          <w:szCs w:val="24"/>
          <w:lang w:val="en-US"/>
        </w:rPr>
        <w:t>6</w:t>
      </w:r>
      <w:r w:rsidR="001E17DF" w:rsidRPr="00556F37">
        <w:rPr>
          <w:rFonts w:cs="Arial"/>
          <w:b/>
          <w:bCs/>
          <w:sz w:val="24"/>
          <w:szCs w:val="24"/>
          <w:lang w:val="en-US"/>
        </w:rPr>
        <w:t>.1</w:t>
      </w:r>
      <w:r w:rsidR="00BD23AF" w:rsidRPr="00556F37">
        <w:rPr>
          <w:rFonts w:cs="Arial"/>
          <w:b/>
          <w:bCs/>
          <w:sz w:val="24"/>
          <w:szCs w:val="24"/>
          <w:lang w:val="en-US"/>
        </w:rPr>
        <w:t>.1</w:t>
      </w:r>
    </w:p>
    <w:p w14:paraId="186753AF" w14:textId="13E55685" w:rsidR="00FA20F7" w:rsidRPr="00556F37" w:rsidRDefault="0092027E" w:rsidP="00565030">
      <w:pPr>
        <w:tabs>
          <w:tab w:val="left" w:pos="1985"/>
        </w:tabs>
        <w:jc w:val="both"/>
        <w:rPr>
          <w:rFonts w:ascii="Arial" w:hAnsi="Arial" w:cs="Arial"/>
          <w:bCs/>
          <w:sz w:val="24"/>
          <w:szCs w:val="24"/>
        </w:rPr>
      </w:pPr>
      <w:r w:rsidRPr="00556F37">
        <w:rPr>
          <w:rFonts w:ascii="Arial" w:hAnsi="Arial" w:cs="Arial"/>
          <w:b/>
          <w:bCs/>
          <w:sz w:val="24"/>
          <w:szCs w:val="24"/>
        </w:rPr>
        <w:t>Source:</w:t>
      </w:r>
      <w:r w:rsidRPr="00556F37">
        <w:rPr>
          <w:rFonts w:ascii="Arial" w:hAnsi="Arial" w:cs="Arial"/>
          <w:b/>
          <w:bCs/>
          <w:sz w:val="24"/>
          <w:szCs w:val="24"/>
        </w:rPr>
        <w:tab/>
        <w:t>InterDigital</w:t>
      </w:r>
      <w:r w:rsidR="00C66296" w:rsidRPr="00556F37">
        <w:rPr>
          <w:rFonts w:ascii="Arial" w:hAnsi="Arial" w:cs="Arial"/>
          <w:b/>
          <w:bCs/>
          <w:sz w:val="24"/>
          <w:szCs w:val="24"/>
        </w:rPr>
        <w:t>,</w:t>
      </w:r>
      <w:r w:rsidR="00E17A3B" w:rsidRPr="00556F37">
        <w:rPr>
          <w:rFonts w:ascii="Arial" w:hAnsi="Arial" w:cs="Arial"/>
          <w:b/>
          <w:bCs/>
          <w:sz w:val="24"/>
          <w:szCs w:val="24"/>
        </w:rPr>
        <w:t xml:space="preserve"> </w:t>
      </w:r>
      <w:r w:rsidR="001E0E46" w:rsidRPr="00556F37">
        <w:rPr>
          <w:rFonts w:ascii="Arial" w:hAnsi="Arial" w:cs="Arial"/>
          <w:b/>
          <w:bCs/>
          <w:sz w:val="24"/>
          <w:szCs w:val="24"/>
        </w:rPr>
        <w:t>Inc.</w:t>
      </w:r>
    </w:p>
    <w:p w14:paraId="4F02292E" w14:textId="101EAA4E" w:rsidR="00FA20F7" w:rsidRPr="00556F37" w:rsidRDefault="00FA20F7" w:rsidP="00565030">
      <w:pPr>
        <w:ind w:left="1985" w:hanging="1985"/>
        <w:jc w:val="both"/>
        <w:rPr>
          <w:rFonts w:ascii="Arial" w:hAnsi="Arial" w:cs="Arial"/>
          <w:b/>
          <w:bCs/>
          <w:sz w:val="24"/>
          <w:szCs w:val="24"/>
          <w:lang w:val="en-GB"/>
        </w:rPr>
      </w:pPr>
      <w:r w:rsidRPr="00556F37">
        <w:rPr>
          <w:rFonts w:ascii="Arial" w:hAnsi="Arial" w:cs="Arial"/>
          <w:b/>
          <w:bCs/>
          <w:sz w:val="24"/>
          <w:szCs w:val="24"/>
        </w:rPr>
        <w:t>Title:</w:t>
      </w:r>
      <w:r w:rsidRPr="00556F37">
        <w:rPr>
          <w:rFonts w:ascii="Arial" w:hAnsi="Arial" w:cs="Arial"/>
          <w:b/>
          <w:bCs/>
          <w:sz w:val="24"/>
          <w:szCs w:val="24"/>
        </w:rPr>
        <w:tab/>
      </w:r>
      <w:bookmarkStart w:id="0" w:name="_Hlk83923321"/>
      <w:r w:rsidR="005043C3" w:rsidRPr="00556F37">
        <w:rPr>
          <w:rFonts w:ascii="Arial" w:hAnsi="Arial" w:cs="Arial"/>
          <w:b/>
          <w:bCs/>
          <w:sz w:val="24"/>
          <w:szCs w:val="24"/>
        </w:rPr>
        <w:t>Discussion on r</w:t>
      </w:r>
      <w:r w:rsidR="0035679E" w:rsidRPr="00556F37">
        <w:rPr>
          <w:rFonts w:ascii="Arial" w:hAnsi="Arial" w:cs="Arial"/>
          <w:b/>
          <w:bCs/>
          <w:sz w:val="24"/>
          <w:szCs w:val="24"/>
        </w:rPr>
        <w:t>educed maximum bandwidth for RedCap UEs</w:t>
      </w:r>
      <w:bookmarkEnd w:id="0"/>
    </w:p>
    <w:p w14:paraId="20F2A3ED" w14:textId="6E198039" w:rsidR="00FA20F7" w:rsidRPr="00556F37" w:rsidRDefault="00A51E32" w:rsidP="00565030">
      <w:pPr>
        <w:ind w:left="1985" w:hanging="1985"/>
        <w:jc w:val="both"/>
        <w:rPr>
          <w:rFonts w:ascii="Arial" w:hAnsi="Arial" w:cs="Arial"/>
          <w:b/>
          <w:bCs/>
          <w:sz w:val="24"/>
          <w:szCs w:val="24"/>
        </w:rPr>
      </w:pPr>
      <w:r w:rsidRPr="00556F37">
        <w:rPr>
          <w:rFonts w:ascii="Arial" w:hAnsi="Arial" w:cs="Arial"/>
          <w:b/>
          <w:bCs/>
          <w:sz w:val="24"/>
          <w:szCs w:val="24"/>
        </w:rPr>
        <w:t>Document for:</w:t>
      </w:r>
      <w:r w:rsidRPr="00556F37">
        <w:rPr>
          <w:rFonts w:ascii="Arial" w:hAnsi="Arial" w:cs="Arial"/>
          <w:b/>
          <w:bCs/>
          <w:sz w:val="24"/>
          <w:szCs w:val="24"/>
        </w:rPr>
        <w:tab/>
        <w:t>Discussion</w:t>
      </w:r>
    </w:p>
    <w:p w14:paraId="45A92109" w14:textId="77777777" w:rsidR="00261A3A" w:rsidRPr="003B13FE" w:rsidRDefault="00A35469" w:rsidP="00565030">
      <w:pPr>
        <w:pStyle w:val="Heading1"/>
        <w:jc w:val="both"/>
        <w:rPr>
          <w:rFonts w:cs="Arial"/>
          <w:szCs w:val="32"/>
        </w:rPr>
      </w:pPr>
      <w:bookmarkStart w:id="1" w:name="_Ref513464071"/>
      <w:r w:rsidRPr="003B13FE">
        <w:rPr>
          <w:rFonts w:cs="Arial"/>
          <w:szCs w:val="32"/>
        </w:rPr>
        <w:t>Introduction</w:t>
      </w:r>
      <w:bookmarkEnd w:id="1"/>
    </w:p>
    <w:p w14:paraId="71831C2C" w14:textId="0A97913F" w:rsidR="00634EFD" w:rsidRDefault="00634EFD" w:rsidP="00565030">
      <w:pPr>
        <w:contextualSpacing/>
        <w:jc w:val="both"/>
      </w:pPr>
      <w:r w:rsidRPr="00634EFD">
        <w:t>In RAN1</w:t>
      </w:r>
      <w:r w:rsidR="00083388">
        <w:t xml:space="preserve"> </w:t>
      </w:r>
      <w:r w:rsidRPr="00634EFD">
        <w:t>#10</w:t>
      </w:r>
      <w:r w:rsidR="00A45ECF">
        <w:t>6</w:t>
      </w:r>
      <w:r w:rsidR="00C43B96">
        <w:t>bis</w:t>
      </w:r>
      <w:r w:rsidRPr="00634EFD">
        <w:t>-e,</w:t>
      </w:r>
      <w:r>
        <w:t xml:space="preserve"> reduced maximum bandwidth for RedCap UEs was discussed and the following </w:t>
      </w:r>
      <w:r w:rsidR="00A45ECF">
        <w:t>were agreed [1]:</w:t>
      </w:r>
    </w:p>
    <w:p w14:paraId="2E03D613" w14:textId="77777777" w:rsidR="00634EFD" w:rsidRPr="003570C9" w:rsidRDefault="00634EFD" w:rsidP="00565030">
      <w:pPr>
        <w:contextualSpacing/>
        <w:jc w:val="both"/>
        <w:rPr>
          <w:bCs/>
        </w:rPr>
      </w:pPr>
    </w:p>
    <w:p w14:paraId="4F12C8B1" w14:textId="77777777" w:rsidR="00C43B96" w:rsidRPr="00A53F36" w:rsidRDefault="00C43B96" w:rsidP="00C43B96">
      <w:pPr>
        <w:rPr>
          <w:bCs/>
          <w:highlight w:val="green"/>
        </w:rPr>
      </w:pPr>
      <w:r w:rsidRPr="00A53F36">
        <w:rPr>
          <w:bCs/>
          <w:highlight w:val="green"/>
        </w:rPr>
        <w:t xml:space="preserve">Agreement: </w:t>
      </w:r>
    </w:p>
    <w:p w14:paraId="1EAA05F8" w14:textId="77777777" w:rsidR="00C43B96" w:rsidRPr="00A53F36" w:rsidRDefault="00C43B96" w:rsidP="00C43B96">
      <w:pPr>
        <w:rPr>
          <w:bCs/>
        </w:rPr>
      </w:pPr>
      <w:r w:rsidRPr="00A53F36">
        <w:rPr>
          <w:bCs/>
        </w:rPr>
        <w:t>Confirm the working assumption:</w:t>
      </w:r>
    </w:p>
    <w:p w14:paraId="7BB3CDF6" w14:textId="77777777" w:rsidR="00C43B96" w:rsidRPr="00A53F36" w:rsidRDefault="00C43B96" w:rsidP="00C43B96">
      <w:pPr>
        <w:pStyle w:val="ListParagraph"/>
        <w:numPr>
          <w:ilvl w:val="0"/>
          <w:numId w:val="27"/>
        </w:numPr>
        <w:overflowPunct w:val="0"/>
        <w:autoSpaceDE w:val="0"/>
        <w:autoSpaceDN w:val="0"/>
        <w:adjustRightInd w:val="0"/>
        <w:spacing w:after="180" w:line="240" w:lineRule="auto"/>
        <w:contextualSpacing/>
        <w:textAlignment w:val="baseline"/>
        <w:rPr>
          <w:bCs/>
        </w:rPr>
      </w:pPr>
      <w:r w:rsidRPr="00A53F36">
        <w:rPr>
          <w:bC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3BF15286" w14:textId="77777777" w:rsidR="00C43B96" w:rsidRPr="00A53F36" w:rsidRDefault="00C43B96" w:rsidP="00C43B96">
      <w:pPr>
        <w:pStyle w:val="ListParagraph"/>
        <w:numPr>
          <w:ilvl w:val="2"/>
          <w:numId w:val="27"/>
        </w:numPr>
        <w:overflowPunct w:val="0"/>
        <w:autoSpaceDE w:val="0"/>
        <w:autoSpaceDN w:val="0"/>
        <w:adjustRightInd w:val="0"/>
        <w:spacing w:after="180" w:line="240" w:lineRule="auto"/>
        <w:contextualSpacing/>
        <w:textAlignment w:val="baseline"/>
        <w:rPr>
          <w:bCs/>
        </w:rPr>
      </w:pPr>
      <w:r w:rsidRPr="00A53F36">
        <w:rPr>
          <w:bCs/>
        </w:rPr>
        <w:t>The frequency hopping is enabled/disabled at least via SIB.</w:t>
      </w:r>
    </w:p>
    <w:p w14:paraId="12CF9C2C" w14:textId="77777777" w:rsidR="00C43B96" w:rsidRPr="004F6AF0" w:rsidRDefault="00C43B96" w:rsidP="00C43B96">
      <w:pPr>
        <w:rPr>
          <w:bCs/>
          <w:szCs w:val="20"/>
          <w:highlight w:val="green"/>
        </w:rPr>
      </w:pPr>
      <w:r w:rsidRPr="004F6AF0">
        <w:rPr>
          <w:bCs/>
          <w:szCs w:val="20"/>
          <w:highlight w:val="green"/>
        </w:rPr>
        <w:t>Agreement</w:t>
      </w:r>
    </w:p>
    <w:p w14:paraId="41A70CBD" w14:textId="77777777" w:rsidR="00C43B96" w:rsidRPr="004F6AF0" w:rsidRDefault="00C43B96" w:rsidP="00C43B96">
      <w:pPr>
        <w:pStyle w:val="ListParagraph"/>
        <w:numPr>
          <w:ilvl w:val="0"/>
          <w:numId w:val="13"/>
        </w:numPr>
        <w:spacing w:line="252" w:lineRule="auto"/>
        <w:contextualSpacing/>
        <w:rPr>
          <w:bCs/>
        </w:rPr>
      </w:pPr>
      <w:r w:rsidRPr="004F6AF0">
        <w:rPr>
          <w:bCs/>
        </w:rPr>
        <w:t>For a cell that allows a RedCap UE to access, network can configure a separate initial UL BWP for RedCap UEs in SIB</w:t>
      </w:r>
    </w:p>
    <w:p w14:paraId="40A096D0" w14:textId="77777777" w:rsidR="00C43B96" w:rsidRPr="004F6AF0" w:rsidRDefault="00C43B96" w:rsidP="00C43B96">
      <w:pPr>
        <w:pStyle w:val="ListParagraph"/>
        <w:numPr>
          <w:ilvl w:val="1"/>
          <w:numId w:val="13"/>
        </w:numPr>
        <w:spacing w:line="252" w:lineRule="auto"/>
        <w:contextualSpacing/>
        <w:rPr>
          <w:bCs/>
        </w:rPr>
      </w:pPr>
      <w:r w:rsidRPr="004F6AF0">
        <w:rPr>
          <w:bCs/>
        </w:rPr>
        <w:t>It can be used both during and after initial access.</w:t>
      </w:r>
    </w:p>
    <w:p w14:paraId="6BC66F78" w14:textId="77777777" w:rsidR="00C43B96" w:rsidRPr="004F6AF0" w:rsidRDefault="00C43B96" w:rsidP="00C43B96">
      <w:pPr>
        <w:pStyle w:val="ListParagraph"/>
        <w:numPr>
          <w:ilvl w:val="1"/>
          <w:numId w:val="13"/>
        </w:numPr>
        <w:spacing w:line="252" w:lineRule="auto"/>
        <w:contextualSpacing/>
        <w:rPr>
          <w:bCs/>
        </w:rPr>
      </w:pPr>
      <w:r w:rsidRPr="004F6AF0">
        <w:rPr>
          <w:bCs/>
        </w:rPr>
        <w:t>It is no wider than the maximum RedCap UE bandwidth.</w:t>
      </w:r>
    </w:p>
    <w:p w14:paraId="36AF3A7E" w14:textId="77777777" w:rsidR="00C43B96" w:rsidRPr="004F6AF0" w:rsidRDefault="00C43B96" w:rsidP="00C43B96">
      <w:pPr>
        <w:pStyle w:val="ListParagraph"/>
        <w:numPr>
          <w:ilvl w:val="1"/>
          <w:numId w:val="13"/>
        </w:numPr>
        <w:spacing w:line="252" w:lineRule="auto"/>
        <w:contextualSpacing/>
        <w:rPr>
          <w:bCs/>
        </w:rPr>
      </w:pPr>
      <w:r w:rsidRPr="004F6AF0">
        <w:rPr>
          <w:bCs/>
        </w:rPr>
        <w:t>It is always configured if the initial UL BWP for non-RedCap UEs is wider than the maximum RedCap UE bandwidth</w:t>
      </w:r>
    </w:p>
    <w:p w14:paraId="7B63BCD3" w14:textId="77777777" w:rsidR="00C43B96" w:rsidRPr="004F6AF0" w:rsidRDefault="00C43B96" w:rsidP="00C43B96">
      <w:pPr>
        <w:pStyle w:val="ListParagraph"/>
        <w:numPr>
          <w:ilvl w:val="1"/>
          <w:numId w:val="13"/>
        </w:numPr>
        <w:spacing w:line="252" w:lineRule="auto"/>
        <w:contextualSpacing/>
        <w:rPr>
          <w:bCs/>
        </w:rPr>
      </w:pPr>
      <w:r w:rsidRPr="004F6AF0">
        <w:rPr>
          <w:bCs/>
        </w:rPr>
        <w:t>This applies to both TDD and FDD (including FD FDD and HD FDD) cases</w:t>
      </w:r>
    </w:p>
    <w:p w14:paraId="3C4FEEAD" w14:textId="77777777" w:rsidR="00C43B96" w:rsidRPr="004F6AF0" w:rsidRDefault="00C43B96" w:rsidP="00C43B96">
      <w:pPr>
        <w:pStyle w:val="ListParagraph"/>
        <w:numPr>
          <w:ilvl w:val="1"/>
          <w:numId w:val="13"/>
        </w:numPr>
        <w:spacing w:line="252" w:lineRule="auto"/>
        <w:contextualSpacing/>
        <w:rPr>
          <w:bCs/>
          <w:strike/>
        </w:rPr>
      </w:pPr>
      <w:r w:rsidRPr="004F6AF0">
        <w:rPr>
          <w:bCs/>
          <w:strike/>
        </w:rPr>
        <w:t>FFS whether part of the configuration is implicitly signaled</w:t>
      </w:r>
    </w:p>
    <w:p w14:paraId="61843EC8" w14:textId="77777777" w:rsidR="00C43B96" w:rsidRPr="004F6AF0" w:rsidRDefault="00C43B96" w:rsidP="00C43B96">
      <w:pPr>
        <w:pStyle w:val="ListParagraph"/>
        <w:spacing w:line="252" w:lineRule="auto"/>
        <w:ind w:left="0"/>
        <w:rPr>
          <w:bCs/>
        </w:rPr>
      </w:pPr>
    </w:p>
    <w:p w14:paraId="296979FD" w14:textId="77777777" w:rsidR="00C43B96" w:rsidRPr="004F6AF0" w:rsidRDefault="00C43B96" w:rsidP="00C43B96">
      <w:pPr>
        <w:rPr>
          <w:bCs/>
          <w:szCs w:val="20"/>
          <w:highlight w:val="darkYellow"/>
        </w:rPr>
      </w:pPr>
      <w:r w:rsidRPr="004F6AF0">
        <w:rPr>
          <w:bCs/>
          <w:szCs w:val="20"/>
          <w:highlight w:val="darkYellow"/>
        </w:rPr>
        <w:t>Working Assumption</w:t>
      </w:r>
    </w:p>
    <w:p w14:paraId="4E79B800" w14:textId="77777777" w:rsidR="00C43B96" w:rsidRPr="004F6AF0" w:rsidRDefault="00C43B96" w:rsidP="00C43B96">
      <w:pPr>
        <w:pStyle w:val="ListParagraph"/>
        <w:numPr>
          <w:ilvl w:val="0"/>
          <w:numId w:val="13"/>
        </w:numPr>
        <w:spacing w:line="252" w:lineRule="auto"/>
        <w:contextualSpacing/>
        <w:rPr>
          <w:bCs/>
        </w:rPr>
      </w:pPr>
      <w:r w:rsidRPr="004F6AF0">
        <w:rPr>
          <w:bCs/>
        </w:rPr>
        <w:t>For a cell that allows a RedCap UE to access, network can configure a separate initial DL BWP for RedCap UEs in SIB.</w:t>
      </w:r>
    </w:p>
    <w:p w14:paraId="2E94B0B7" w14:textId="77777777" w:rsidR="00C43B96" w:rsidRPr="004F6AF0" w:rsidRDefault="00C43B96" w:rsidP="00C43B96">
      <w:pPr>
        <w:pStyle w:val="ListParagraph"/>
        <w:numPr>
          <w:ilvl w:val="1"/>
          <w:numId w:val="13"/>
        </w:numPr>
        <w:spacing w:line="252" w:lineRule="auto"/>
        <w:contextualSpacing/>
        <w:rPr>
          <w:bCs/>
        </w:rPr>
      </w:pPr>
      <w:r w:rsidRPr="004F6AF0">
        <w:rPr>
          <w:bCs/>
          <w:highlight w:val="darkYellow"/>
        </w:rPr>
        <w:t xml:space="preserve">Working assumption: </w:t>
      </w:r>
      <w:r w:rsidRPr="004F6AF0">
        <w:rPr>
          <w:bCs/>
        </w:rPr>
        <w:t>It can be used during initial access</w:t>
      </w:r>
    </w:p>
    <w:p w14:paraId="194C38B8" w14:textId="77777777" w:rsidR="00C43B96" w:rsidRPr="004F6AF0" w:rsidRDefault="00C43B96" w:rsidP="00C43B96">
      <w:pPr>
        <w:pStyle w:val="ListParagraph"/>
        <w:numPr>
          <w:ilvl w:val="1"/>
          <w:numId w:val="13"/>
        </w:numPr>
        <w:spacing w:line="252" w:lineRule="auto"/>
        <w:contextualSpacing/>
        <w:rPr>
          <w:bCs/>
        </w:rPr>
      </w:pPr>
      <w:r w:rsidRPr="004F6AF0">
        <w:rPr>
          <w:bCs/>
        </w:rPr>
        <w:t>It can be used after initial access.</w:t>
      </w:r>
    </w:p>
    <w:p w14:paraId="1C28B553" w14:textId="77777777" w:rsidR="00C43B96" w:rsidRPr="004F6AF0" w:rsidRDefault="00C43B96" w:rsidP="00C43B96">
      <w:pPr>
        <w:pStyle w:val="ListParagraph"/>
        <w:numPr>
          <w:ilvl w:val="1"/>
          <w:numId w:val="13"/>
        </w:numPr>
        <w:spacing w:line="252" w:lineRule="auto"/>
        <w:contextualSpacing/>
        <w:rPr>
          <w:bCs/>
        </w:rPr>
      </w:pPr>
      <w:r w:rsidRPr="004F6AF0">
        <w:rPr>
          <w:bCs/>
        </w:rPr>
        <w:t>It is no wider than the maximum RedCap UE bandwidth.</w:t>
      </w:r>
    </w:p>
    <w:p w14:paraId="60C0F9C2" w14:textId="77777777" w:rsidR="00C43B96" w:rsidRPr="004F6AF0" w:rsidRDefault="00C43B96" w:rsidP="00C43B96">
      <w:pPr>
        <w:pStyle w:val="ListParagraph"/>
        <w:numPr>
          <w:ilvl w:val="1"/>
          <w:numId w:val="13"/>
        </w:numPr>
        <w:spacing w:line="252" w:lineRule="auto"/>
        <w:contextualSpacing/>
        <w:rPr>
          <w:bCs/>
        </w:rPr>
      </w:pPr>
      <w:r w:rsidRPr="004F6AF0">
        <w:rPr>
          <w:bCs/>
        </w:rPr>
        <w:t>FFS: It is always configured if the initial DL BWP for non-RedCap UEs is wider than the maximum RedCap UE bandwidth.</w:t>
      </w:r>
    </w:p>
    <w:p w14:paraId="663A61B0" w14:textId="77777777" w:rsidR="00C43B96" w:rsidRPr="004F6AF0" w:rsidRDefault="00C43B96" w:rsidP="00C43B96">
      <w:pPr>
        <w:pStyle w:val="ListParagraph"/>
        <w:numPr>
          <w:ilvl w:val="1"/>
          <w:numId w:val="13"/>
        </w:numPr>
        <w:spacing w:line="252" w:lineRule="auto"/>
        <w:contextualSpacing/>
        <w:rPr>
          <w:bCs/>
        </w:rPr>
      </w:pPr>
      <w:r w:rsidRPr="004F6AF0">
        <w:rPr>
          <w:bCs/>
        </w:rPr>
        <w:t>This applies to both TDD and FDD (including FD FDD and HD FDD) cases.</w:t>
      </w:r>
    </w:p>
    <w:p w14:paraId="68C29173" w14:textId="77777777" w:rsidR="00C43B96" w:rsidRPr="004F6AF0" w:rsidRDefault="00C43B96" w:rsidP="00C43B96">
      <w:pPr>
        <w:pStyle w:val="ListParagraph"/>
        <w:numPr>
          <w:ilvl w:val="1"/>
          <w:numId w:val="13"/>
        </w:numPr>
        <w:spacing w:line="252" w:lineRule="auto"/>
        <w:contextualSpacing/>
        <w:rPr>
          <w:bCs/>
        </w:rPr>
      </w:pPr>
      <w:r w:rsidRPr="004F6AF0">
        <w:rPr>
          <w:bCs/>
          <w:highlight w:val="darkYellow"/>
        </w:rPr>
        <w:t>Working assumption:</w:t>
      </w:r>
      <w:r w:rsidRPr="004F6AF0">
        <w:rPr>
          <w:bCs/>
        </w:rPr>
        <w:t xml:space="preserve"> </w:t>
      </w:r>
      <w:r w:rsidRPr="004F6AF0">
        <w:rPr>
          <w:rFonts w:eastAsia="DengXian"/>
          <w:bCs/>
          <w:lang w:eastAsia="zh-CN"/>
        </w:rPr>
        <w:t>It applies at least after initial access for FR1 when MIB configured CORESET#0 is included</w:t>
      </w:r>
    </w:p>
    <w:p w14:paraId="0B52D3EE" w14:textId="77777777" w:rsidR="00C43B96" w:rsidRPr="004F6AF0" w:rsidRDefault="00C43B96" w:rsidP="00C43B96">
      <w:pPr>
        <w:rPr>
          <w:bCs/>
        </w:rPr>
      </w:pPr>
    </w:p>
    <w:p w14:paraId="18D7D8DC" w14:textId="77777777" w:rsidR="00C43B96" w:rsidRPr="0005536A" w:rsidRDefault="00C43B96" w:rsidP="00C43B96">
      <w:pPr>
        <w:rPr>
          <w:rFonts w:eastAsia="DengXian"/>
          <w:bCs/>
          <w:highlight w:val="green"/>
          <w:lang w:eastAsia="zh-CN"/>
        </w:rPr>
      </w:pPr>
      <w:r w:rsidRPr="0005536A">
        <w:rPr>
          <w:rFonts w:eastAsia="DengXian" w:hint="eastAsia"/>
          <w:bCs/>
          <w:highlight w:val="green"/>
          <w:lang w:eastAsia="zh-CN"/>
        </w:rPr>
        <w:t>A</w:t>
      </w:r>
      <w:r w:rsidRPr="0005536A">
        <w:rPr>
          <w:rFonts w:eastAsia="DengXian"/>
          <w:bCs/>
          <w:highlight w:val="green"/>
          <w:lang w:eastAsia="zh-CN"/>
        </w:rPr>
        <w:t>greement</w:t>
      </w:r>
    </w:p>
    <w:p w14:paraId="2BA72BB7" w14:textId="77777777" w:rsidR="00C43B96" w:rsidRPr="0005536A" w:rsidRDefault="00C43B96" w:rsidP="00C43B96">
      <w:pPr>
        <w:pStyle w:val="ListParagraph"/>
        <w:numPr>
          <w:ilvl w:val="0"/>
          <w:numId w:val="28"/>
        </w:numPr>
        <w:spacing w:after="180" w:line="252" w:lineRule="auto"/>
        <w:contextualSpacing/>
        <w:rPr>
          <w:bCs/>
        </w:rPr>
      </w:pPr>
      <w:r w:rsidRPr="0005536A">
        <w:rPr>
          <w:bCs/>
        </w:rPr>
        <w:t xml:space="preserve">Send an LS to RAN2 and RAN4 to ask about </w:t>
      </w:r>
      <w:r w:rsidRPr="0005536A">
        <w:rPr>
          <w:bCs/>
          <w:strike/>
          <w:color w:val="FF0000"/>
        </w:rPr>
        <w:t xml:space="preserve">the feasibility of </w:t>
      </w:r>
      <w:r w:rsidRPr="0005536A">
        <w:rPr>
          <w:bCs/>
        </w:rPr>
        <w:t>using NCD-SSB instead of CD-SSB for idle/inactive/connected mode procedures for serving and non-serving cells for a Rel-17 RedCap UE operating with an initial or non-initial DL BWP not containing CD-SSB.</w:t>
      </w:r>
    </w:p>
    <w:p w14:paraId="4744E35F" w14:textId="77777777" w:rsidR="00C43B96" w:rsidRPr="0005536A" w:rsidRDefault="00C43B96" w:rsidP="00C43B96">
      <w:pPr>
        <w:pStyle w:val="ListParagraph"/>
        <w:numPr>
          <w:ilvl w:val="1"/>
          <w:numId w:val="28"/>
        </w:numPr>
        <w:spacing w:after="180" w:line="252" w:lineRule="auto"/>
        <w:contextualSpacing/>
        <w:rPr>
          <w:bCs/>
        </w:rPr>
      </w:pPr>
      <w:r w:rsidRPr="0005536A">
        <w:rPr>
          <w:bCs/>
        </w:rPr>
        <w:lastRenderedPageBreak/>
        <w:t>Draft the LS until Tuesday 19</w:t>
      </w:r>
      <w:r w:rsidRPr="0005536A">
        <w:rPr>
          <w:bCs/>
          <w:vertAlign w:val="superscript"/>
        </w:rPr>
        <w:t>th</w:t>
      </w:r>
      <w:r w:rsidRPr="0005536A">
        <w:rPr>
          <w:bCs/>
        </w:rPr>
        <w:t xml:space="preserve"> October.</w:t>
      </w:r>
    </w:p>
    <w:p w14:paraId="38D38FD3" w14:textId="77777777" w:rsidR="00C43B96" w:rsidRPr="0005536A" w:rsidRDefault="00C43B96" w:rsidP="00C43B96">
      <w:pPr>
        <w:pStyle w:val="ListParagraph"/>
        <w:numPr>
          <w:ilvl w:val="1"/>
          <w:numId w:val="28"/>
        </w:numPr>
        <w:spacing w:after="180" w:line="252" w:lineRule="auto"/>
        <w:contextualSpacing/>
        <w:rPr>
          <w:bCs/>
        </w:rPr>
      </w:pPr>
      <w:r w:rsidRPr="0005536A">
        <w:rPr>
          <w:bCs/>
        </w:rPr>
        <w:t>Indicate in the LS that a response is needed before RAN1#107-e.</w:t>
      </w:r>
    </w:p>
    <w:p w14:paraId="2741631A" w14:textId="77777777" w:rsidR="00C43B96" w:rsidRPr="0005536A" w:rsidRDefault="00C43B96" w:rsidP="00C43B96">
      <w:pPr>
        <w:pStyle w:val="ListParagraph"/>
        <w:numPr>
          <w:ilvl w:val="1"/>
          <w:numId w:val="28"/>
        </w:numPr>
        <w:spacing w:after="180" w:line="252" w:lineRule="auto"/>
        <w:contextualSpacing/>
        <w:rPr>
          <w:bCs/>
        </w:rPr>
      </w:pPr>
      <w:r w:rsidRPr="0005536A">
        <w:rPr>
          <w:rFonts w:eastAsia="DengXian"/>
          <w:bCs/>
          <w:lang w:eastAsia="zh-CN"/>
        </w:rPr>
        <w:t xml:space="preserve">Indicate </w:t>
      </w:r>
      <w:r w:rsidRPr="0005536A">
        <w:rPr>
          <w:rFonts w:eastAsia="DengXian" w:hint="eastAsia"/>
          <w:bCs/>
          <w:lang w:eastAsia="zh-CN"/>
        </w:rPr>
        <w:t xml:space="preserve">in </w:t>
      </w:r>
      <w:r w:rsidRPr="0005536A">
        <w:rPr>
          <w:rFonts w:eastAsia="DengXian"/>
          <w:bCs/>
          <w:lang w:eastAsia="zh-CN"/>
        </w:rPr>
        <w:t>the LS both option 1 and option 2</w:t>
      </w:r>
    </w:p>
    <w:p w14:paraId="5B6D4537" w14:textId="77777777" w:rsidR="00C43B96" w:rsidRDefault="00C43B96" w:rsidP="00C43B96">
      <w:pPr>
        <w:pStyle w:val="ListParagraph"/>
        <w:spacing w:after="180" w:line="252" w:lineRule="auto"/>
        <w:contextualSpacing/>
        <w:rPr>
          <w:bCs/>
        </w:rPr>
      </w:pPr>
    </w:p>
    <w:p w14:paraId="5EC1A50C" w14:textId="242FDE3B" w:rsidR="00C43B96" w:rsidRPr="0005536A" w:rsidRDefault="00C43B96" w:rsidP="00C43B96">
      <w:pPr>
        <w:pStyle w:val="ListParagraph"/>
        <w:numPr>
          <w:ilvl w:val="0"/>
          <w:numId w:val="28"/>
        </w:numPr>
        <w:spacing w:after="180" w:line="252" w:lineRule="auto"/>
        <w:contextualSpacing/>
        <w:rPr>
          <w:bCs/>
        </w:rPr>
      </w:pPr>
      <w:r w:rsidRPr="0005536A">
        <w:rPr>
          <w:bCs/>
        </w:rPr>
        <w:t>For FR1, following options:</w:t>
      </w:r>
    </w:p>
    <w:p w14:paraId="45E5AE5A" w14:textId="77777777" w:rsidR="00C43B96" w:rsidRPr="0005536A" w:rsidRDefault="00C43B96" w:rsidP="00C43B96">
      <w:pPr>
        <w:pStyle w:val="ListParagraph"/>
        <w:numPr>
          <w:ilvl w:val="1"/>
          <w:numId w:val="28"/>
        </w:numPr>
        <w:spacing w:after="180" w:line="252" w:lineRule="auto"/>
        <w:contextualSpacing/>
        <w:rPr>
          <w:bCs/>
        </w:rPr>
      </w:pPr>
      <w:r w:rsidRPr="0005536A">
        <w:rPr>
          <w:bCs/>
        </w:rPr>
        <w:t>Option 1:</w:t>
      </w:r>
    </w:p>
    <w:p w14:paraId="175E893E" w14:textId="77777777" w:rsidR="00C43B96" w:rsidRPr="0005536A" w:rsidRDefault="00C43B96" w:rsidP="00C43B96">
      <w:pPr>
        <w:pStyle w:val="ListParagraph"/>
        <w:numPr>
          <w:ilvl w:val="2"/>
          <w:numId w:val="28"/>
        </w:numPr>
        <w:spacing w:after="180" w:line="252" w:lineRule="auto"/>
        <w:contextualSpacing/>
        <w:rPr>
          <w:bCs/>
        </w:rPr>
      </w:pPr>
      <w:r w:rsidRPr="0005536A">
        <w:rPr>
          <w:bCs/>
        </w:rPr>
        <w:t>For a separate initial DL BWP (if it does not include CD-SSB and the entire CORESET#0),</w:t>
      </w:r>
    </w:p>
    <w:p w14:paraId="20C3BB22" w14:textId="77777777" w:rsidR="00C43B96" w:rsidRPr="0005536A" w:rsidRDefault="00C43B96" w:rsidP="00C43B96">
      <w:pPr>
        <w:pStyle w:val="ListParagraph"/>
        <w:numPr>
          <w:ilvl w:val="3"/>
          <w:numId w:val="28"/>
        </w:numPr>
        <w:spacing w:after="180" w:line="252" w:lineRule="auto"/>
        <w:contextualSpacing/>
        <w:rPr>
          <w:bCs/>
        </w:rPr>
      </w:pPr>
      <w:r w:rsidRPr="0005536A">
        <w:rPr>
          <w:bCs/>
        </w:rPr>
        <w:t>RedCap UE does NOT expect it to contain SSB/CORESET#0/SIB.</w:t>
      </w:r>
    </w:p>
    <w:p w14:paraId="0FEED641" w14:textId="77777777" w:rsidR="00C43B96" w:rsidRPr="0005536A" w:rsidRDefault="00C43B96" w:rsidP="00C43B96">
      <w:pPr>
        <w:pStyle w:val="ListParagraph"/>
        <w:numPr>
          <w:ilvl w:val="2"/>
          <w:numId w:val="28"/>
        </w:numPr>
        <w:spacing w:after="180" w:line="252" w:lineRule="auto"/>
        <w:contextualSpacing/>
        <w:rPr>
          <w:bCs/>
        </w:rPr>
      </w:pPr>
      <w:r w:rsidRPr="0005536A">
        <w:rPr>
          <w:bCs/>
        </w:rPr>
        <w:t>For an RRC-configured active DL BWP (if it does not include CD-SSB and the entire CORESET#0),</w:t>
      </w:r>
    </w:p>
    <w:p w14:paraId="589E395A" w14:textId="77777777" w:rsidR="00C43B96" w:rsidRPr="0005536A" w:rsidRDefault="00C43B96" w:rsidP="00C43B96">
      <w:pPr>
        <w:pStyle w:val="ListParagraph"/>
        <w:numPr>
          <w:ilvl w:val="3"/>
          <w:numId w:val="28"/>
        </w:numPr>
        <w:spacing w:after="180" w:line="252" w:lineRule="auto"/>
        <w:contextualSpacing/>
        <w:rPr>
          <w:bCs/>
        </w:rPr>
      </w:pPr>
      <w:r w:rsidRPr="0005536A">
        <w:rPr>
          <w:bCs/>
        </w:rPr>
        <w:t>RedCap UE does NOT expect it to contain SSB/CORESET#0/SIB.</w:t>
      </w:r>
    </w:p>
    <w:p w14:paraId="490B254F" w14:textId="77777777" w:rsidR="00C43B96" w:rsidRPr="0005536A" w:rsidRDefault="00C43B96" w:rsidP="00C43B96">
      <w:pPr>
        <w:pStyle w:val="ListParagraph"/>
        <w:numPr>
          <w:ilvl w:val="1"/>
          <w:numId w:val="28"/>
        </w:numPr>
        <w:spacing w:after="180" w:line="252" w:lineRule="auto"/>
        <w:contextualSpacing/>
        <w:rPr>
          <w:bCs/>
        </w:rPr>
      </w:pPr>
      <w:r w:rsidRPr="0005536A">
        <w:rPr>
          <w:bCs/>
        </w:rPr>
        <w:t>Option 2:</w:t>
      </w:r>
    </w:p>
    <w:p w14:paraId="4BA32BF4" w14:textId="77777777" w:rsidR="00C43B96" w:rsidRPr="0005536A" w:rsidRDefault="00C43B96" w:rsidP="00C43B96">
      <w:pPr>
        <w:pStyle w:val="ListParagraph"/>
        <w:numPr>
          <w:ilvl w:val="2"/>
          <w:numId w:val="28"/>
        </w:numPr>
        <w:spacing w:after="180" w:line="252" w:lineRule="auto"/>
        <w:contextualSpacing/>
        <w:rPr>
          <w:bCs/>
        </w:rPr>
      </w:pPr>
      <w:r w:rsidRPr="0005536A">
        <w:rPr>
          <w:bCs/>
        </w:rPr>
        <w:t>For a separate initial DL BWP (if it does not include CD-SSB and the entire CORESET#0),</w:t>
      </w:r>
    </w:p>
    <w:p w14:paraId="4DDA0AD4" w14:textId="77777777" w:rsidR="00C43B96" w:rsidRPr="0005536A" w:rsidRDefault="00C43B96" w:rsidP="00C43B96">
      <w:pPr>
        <w:pStyle w:val="ListParagraph"/>
        <w:numPr>
          <w:ilvl w:val="3"/>
          <w:numId w:val="28"/>
        </w:numPr>
        <w:spacing w:after="180" w:line="252" w:lineRule="auto"/>
        <w:contextualSpacing/>
        <w:rPr>
          <w:bCs/>
        </w:rPr>
      </w:pPr>
      <w:r w:rsidRPr="0005536A">
        <w:rPr>
          <w:bCs/>
        </w:rPr>
        <w:t xml:space="preserve">If it is configured for </w:t>
      </w:r>
      <w:r w:rsidRPr="0005536A">
        <w:rPr>
          <w:bCs/>
          <w:color w:val="FF0000"/>
        </w:rPr>
        <w:t>random access</w:t>
      </w:r>
      <w:r w:rsidRPr="0005536A">
        <w:rPr>
          <w:bCs/>
          <w:color w:val="FF0000"/>
          <w:highlight w:val="yellow"/>
        </w:rPr>
        <w:t xml:space="preserve"> </w:t>
      </w:r>
      <w:r w:rsidRPr="0005536A">
        <w:rPr>
          <w:bCs/>
          <w:color w:val="FF0000"/>
        </w:rPr>
        <w:t>while not for paging in idle/inactive mode</w:t>
      </w:r>
      <w:r w:rsidRPr="0005536A">
        <w:rPr>
          <w:bCs/>
        </w:rPr>
        <w:t>, RedCap UE does NOT expect it to contain SSB/CORESET#0/SIB.</w:t>
      </w:r>
    </w:p>
    <w:p w14:paraId="40DE4307" w14:textId="77777777" w:rsidR="00C43B96" w:rsidRPr="0005536A" w:rsidRDefault="00C43B96" w:rsidP="00C43B96">
      <w:pPr>
        <w:pStyle w:val="ListParagraph"/>
        <w:numPr>
          <w:ilvl w:val="4"/>
          <w:numId w:val="28"/>
        </w:numPr>
        <w:spacing w:after="180" w:line="252" w:lineRule="auto"/>
        <w:contextualSpacing/>
        <w:rPr>
          <w:bCs/>
        </w:rPr>
      </w:pPr>
      <w:r w:rsidRPr="0005536A">
        <w:rPr>
          <w:bCs/>
        </w:rPr>
        <w:t>FFS: For BWP#0 configuration option 1, whether the UE can expect SSB transmission in the separate initial DL BWP when it is used in connected mode.</w:t>
      </w:r>
    </w:p>
    <w:p w14:paraId="29BE3F7B" w14:textId="77777777" w:rsidR="00C43B96" w:rsidRPr="0005536A" w:rsidRDefault="00C43B96" w:rsidP="00C43B96">
      <w:pPr>
        <w:pStyle w:val="ListParagraph"/>
        <w:numPr>
          <w:ilvl w:val="3"/>
          <w:numId w:val="28"/>
        </w:numPr>
        <w:spacing w:after="180" w:line="252" w:lineRule="auto"/>
        <w:contextualSpacing/>
        <w:rPr>
          <w:bCs/>
        </w:rPr>
      </w:pPr>
      <w:r w:rsidRPr="0005536A">
        <w:rPr>
          <w:bCs/>
        </w:rPr>
        <w:t>If it is configured for paging, RedCap UE expects it to contain NCD-SSB</w:t>
      </w:r>
      <w:r w:rsidRPr="0005536A">
        <w:rPr>
          <w:bCs/>
          <w:color w:val="FF0000"/>
        </w:rPr>
        <w:t xml:space="preserve"> for serving cell</w:t>
      </w:r>
      <w:r w:rsidRPr="0005536A">
        <w:rPr>
          <w:bCs/>
        </w:rPr>
        <w:t xml:space="preserve"> but not CORESET#0/SIB.</w:t>
      </w:r>
    </w:p>
    <w:p w14:paraId="029626A8" w14:textId="77777777" w:rsidR="00C43B96" w:rsidRPr="0005536A" w:rsidRDefault="00C43B96" w:rsidP="00C43B96">
      <w:pPr>
        <w:pStyle w:val="ListParagraph"/>
        <w:numPr>
          <w:ilvl w:val="2"/>
          <w:numId w:val="28"/>
        </w:numPr>
        <w:spacing w:after="180" w:line="252" w:lineRule="auto"/>
        <w:contextualSpacing/>
        <w:rPr>
          <w:bCs/>
        </w:rPr>
      </w:pPr>
      <w:r w:rsidRPr="0005536A">
        <w:rPr>
          <w:bCs/>
        </w:rPr>
        <w:t>For an RRC-configured active DL BWP</w:t>
      </w:r>
      <w:r w:rsidRPr="0005536A">
        <w:rPr>
          <w:bCs/>
          <w:color w:val="FF0000"/>
        </w:rPr>
        <w:t xml:space="preserve"> in connected mode</w:t>
      </w:r>
      <w:r w:rsidRPr="0005536A">
        <w:rPr>
          <w:bCs/>
        </w:rPr>
        <w:t xml:space="preserve"> (if it does not include CD-SSB and the entire CORESET#0),</w:t>
      </w:r>
    </w:p>
    <w:p w14:paraId="5555ADC2" w14:textId="77777777" w:rsidR="00C43B96" w:rsidRPr="0005536A" w:rsidRDefault="00C43B96" w:rsidP="00C43B96">
      <w:pPr>
        <w:pStyle w:val="ListParagraph"/>
        <w:numPr>
          <w:ilvl w:val="3"/>
          <w:numId w:val="28"/>
        </w:numPr>
        <w:spacing w:after="180" w:line="252" w:lineRule="auto"/>
        <w:contextualSpacing/>
        <w:rPr>
          <w:bCs/>
        </w:rPr>
      </w:pPr>
      <w:r w:rsidRPr="0005536A">
        <w:rPr>
          <w:bCs/>
        </w:rPr>
        <w:t>RedCap UE expects it to contain NCD-SSB</w:t>
      </w:r>
      <w:r w:rsidRPr="0005536A">
        <w:rPr>
          <w:bCs/>
          <w:color w:val="FF0000"/>
        </w:rPr>
        <w:t xml:space="preserve"> for serving cell</w:t>
      </w:r>
      <w:r w:rsidRPr="0005536A">
        <w:rPr>
          <w:bCs/>
        </w:rPr>
        <w:t xml:space="preserve"> [FFS: or CSI-RS</w:t>
      </w:r>
      <w:r w:rsidRPr="0005536A">
        <w:rPr>
          <w:bCs/>
          <w:color w:val="FF0000"/>
        </w:rPr>
        <w:t xml:space="preserve"> or measurement gap configuration</w:t>
      </w:r>
      <w:r w:rsidRPr="0005536A">
        <w:rPr>
          <w:bCs/>
        </w:rPr>
        <w:t>] but not CORESET#0/SIB.</w:t>
      </w:r>
    </w:p>
    <w:p w14:paraId="52F7C431" w14:textId="77777777" w:rsidR="00C43B96" w:rsidRPr="0005536A" w:rsidRDefault="00C43B96" w:rsidP="00C43B96">
      <w:pPr>
        <w:pStyle w:val="ListParagraph"/>
        <w:numPr>
          <w:ilvl w:val="1"/>
          <w:numId w:val="28"/>
        </w:numPr>
        <w:spacing w:after="180" w:line="252" w:lineRule="auto"/>
        <w:contextualSpacing/>
        <w:rPr>
          <w:bCs/>
        </w:rPr>
      </w:pPr>
      <w:r w:rsidRPr="0005536A">
        <w:rPr>
          <w:bCs/>
        </w:rPr>
        <w:t>Note: if a separate initial/RRC configured DL BWP is configured to contain the entire CORESET#0, CD-SSB is expected by RedCap UE.</w:t>
      </w:r>
    </w:p>
    <w:p w14:paraId="062E7F0B" w14:textId="77777777" w:rsidR="00C43B96" w:rsidRPr="0005536A" w:rsidRDefault="00C43B96" w:rsidP="00C43B96">
      <w:pPr>
        <w:pStyle w:val="ListParagraph"/>
        <w:numPr>
          <w:ilvl w:val="1"/>
          <w:numId w:val="28"/>
        </w:numPr>
        <w:spacing w:after="180" w:line="252" w:lineRule="auto"/>
        <w:contextualSpacing/>
        <w:rPr>
          <w:bCs/>
        </w:rPr>
      </w:pPr>
      <w:r w:rsidRPr="0005536A">
        <w:rPr>
          <w:bCs/>
        </w:rPr>
        <w:t>Note: The network may choose to configure SSB or MIB-configured CORESET#0 or SIB1 to be within the respective DL BWP.</w:t>
      </w:r>
    </w:p>
    <w:p w14:paraId="40CC8A69" w14:textId="77777777" w:rsidR="00C43B96" w:rsidRPr="0005536A" w:rsidRDefault="00C43B96" w:rsidP="00C43B96">
      <w:pPr>
        <w:pStyle w:val="ListParagraph"/>
        <w:numPr>
          <w:ilvl w:val="1"/>
          <w:numId w:val="28"/>
        </w:numPr>
        <w:spacing w:after="180" w:line="252" w:lineRule="auto"/>
        <w:contextualSpacing/>
        <w:rPr>
          <w:bCs/>
        </w:rPr>
      </w:pPr>
      <w:r w:rsidRPr="0005536A">
        <w:rPr>
          <w:bCs/>
        </w:rPr>
        <w:t xml:space="preserve">FFS: For Option 1 and Option 2, whether RedCap UE can/cannot expect SSB under certain </w:t>
      </w:r>
      <w:r w:rsidRPr="0005536A">
        <w:rPr>
          <w:bCs/>
          <w:color w:val="FF0000"/>
        </w:rPr>
        <w:t xml:space="preserve">other </w:t>
      </w:r>
      <w:r w:rsidRPr="0005536A">
        <w:rPr>
          <w:bCs/>
        </w:rPr>
        <w:t>conditions</w:t>
      </w:r>
      <w:r w:rsidRPr="0005536A">
        <w:rPr>
          <w:bCs/>
          <w:color w:val="FF0000"/>
        </w:rPr>
        <w:t>, e.g.,</w:t>
      </w:r>
      <w:r w:rsidRPr="0005536A">
        <w:rPr>
          <w:bCs/>
        </w:rPr>
        <w:t xml:space="preserve"> for SSB monitoring periodicity (i.e., SMTC configuration) and DRX cycle</w:t>
      </w:r>
    </w:p>
    <w:p w14:paraId="01E6A794" w14:textId="77777777" w:rsidR="00C43B96" w:rsidRPr="0005536A" w:rsidRDefault="00C43B96" w:rsidP="00C43B96">
      <w:pPr>
        <w:pStyle w:val="ListParagraph"/>
        <w:numPr>
          <w:ilvl w:val="1"/>
          <w:numId w:val="28"/>
        </w:numPr>
        <w:spacing w:after="180" w:line="252" w:lineRule="auto"/>
        <w:contextualSpacing/>
        <w:rPr>
          <w:bCs/>
        </w:rPr>
      </w:pPr>
      <w:r w:rsidRPr="0005536A">
        <w:rPr>
          <w:bCs/>
        </w:rPr>
        <w:t>FFS: Whether additional mechanism for SI update or how SI update notifications and/or SI updates are signaled to RedCap UEs</w:t>
      </w:r>
    </w:p>
    <w:p w14:paraId="08B78C8B" w14:textId="77777777" w:rsidR="00C43B96" w:rsidRPr="0005536A" w:rsidRDefault="00C43B96" w:rsidP="00C43B96">
      <w:pPr>
        <w:pStyle w:val="ListParagraph"/>
        <w:numPr>
          <w:ilvl w:val="1"/>
          <w:numId w:val="28"/>
        </w:numPr>
        <w:spacing w:after="180" w:line="252" w:lineRule="auto"/>
        <w:contextualSpacing/>
        <w:rPr>
          <w:bCs/>
        </w:rPr>
      </w:pPr>
      <w:r w:rsidRPr="0005536A">
        <w:rPr>
          <w:bCs/>
        </w:rPr>
        <w:t>FFS: FR2 case</w:t>
      </w:r>
    </w:p>
    <w:p w14:paraId="7710C5EF" w14:textId="77777777" w:rsidR="00C43B96" w:rsidRPr="00FD7F50" w:rsidRDefault="00C43B96" w:rsidP="00C43B96">
      <w:pPr>
        <w:rPr>
          <w:lang w:eastAsia="x-none"/>
        </w:rPr>
      </w:pPr>
      <w:r w:rsidRPr="00FD7F50">
        <w:rPr>
          <w:highlight w:val="green"/>
          <w:lang w:eastAsia="x-none"/>
        </w:rPr>
        <w:t>Agreement</w:t>
      </w:r>
    </w:p>
    <w:p w14:paraId="59864BFF" w14:textId="77777777" w:rsidR="00C43B96" w:rsidRPr="00FD7F50" w:rsidRDefault="00C43B96" w:rsidP="00C43B96">
      <w:pPr>
        <w:pStyle w:val="ListParagraph"/>
        <w:numPr>
          <w:ilvl w:val="0"/>
          <w:numId w:val="29"/>
        </w:numPr>
        <w:overflowPunct w:val="0"/>
        <w:autoSpaceDE w:val="0"/>
        <w:autoSpaceDN w:val="0"/>
        <w:adjustRightInd w:val="0"/>
        <w:spacing w:after="180" w:line="240" w:lineRule="auto"/>
        <w:contextualSpacing/>
        <w:textAlignment w:val="baseline"/>
      </w:pPr>
      <w:r w:rsidRPr="00FD7F50">
        <w:t>FFS: What specification changes (if any) are needed to support that the network can enable/disable intra-slot PUCCH frequency hopping (FH) within the separate initial UL BWP in the PUCCH resource for HARQ feedback for Msg4/MsgB for RedCap</w:t>
      </w:r>
    </w:p>
    <w:p w14:paraId="101E5E51" w14:textId="77777777" w:rsidR="00C43B96" w:rsidRPr="00FD7F50" w:rsidRDefault="00C43B96" w:rsidP="00C43B96">
      <w:pPr>
        <w:pStyle w:val="ListParagraph"/>
        <w:numPr>
          <w:ilvl w:val="0"/>
          <w:numId w:val="29"/>
        </w:numPr>
        <w:overflowPunct w:val="0"/>
        <w:autoSpaceDE w:val="0"/>
        <w:autoSpaceDN w:val="0"/>
        <w:adjustRightInd w:val="0"/>
        <w:spacing w:after="180" w:line="240" w:lineRule="auto"/>
        <w:contextualSpacing/>
        <w:textAlignment w:val="baseline"/>
      </w:pPr>
      <w:r w:rsidRPr="00FD7F50">
        <w:t>FFS: Whether any specification changes are needed and desired in order to support multiplexing of non-FH and FH PUCCH transmissions in PUCCH resources.</w:t>
      </w:r>
    </w:p>
    <w:p w14:paraId="78134A50" w14:textId="77777777" w:rsidR="00C43B96" w:rsidRPr="00FD7F50" w:rsidRDefault="00C43B96" w:rsidP="00C43B96">
      <w:pPr>
        <w:rPr>
          <w:szCs w:val="20"/>
          <w:highlight w:val="green"/>
          <w:shd w:val="clear" w:color="auto" w:fill="FFFFFF"/>
          <w:lang w:eastAsia="zh-CN"/>
        </w:rPr>
      </w:pPr>
      <w:r w:rsidRPr="00FD7F50">
        <w:rPr>
          <w:szCs w:val="20"/>
          <w:highlight w:val="green"/>
          <w:shd w:val="clear" w:color="auto" w:fill="FFFFFF"/>
          <w:lang w:eastAsia="zh-CN"/>
        </w:rPr>
        <w:t>Agreement</w:t>
      </w:r>
    </w:p>
    <w:p w14:paraId="1716D9F3" w14:textId="77777777" w:rsidR="00C43B96" w:rsidRPr="00804884" w:rsidRDefault="00C43B96" w:rsidP="00C43B96">
      <w:pPr>
        <w:rPr>
          <w:szCs w:val="20"/>
          <w:shd w:val="clear" w:color="auto" w:fill="FFFFFF"/>
          <w:lang w:eastAsia="zh-CN"/>
        </w:rPr>
      </w:pPr>
      <w:r w:rsidRPr="00804884">
        <w:rPr>
          <w:szCs w:val="20"/>
          <w:shd w:val="clear" w:color="auto" w:fill="FFFFFF"/>
          <w:lang w:eastAsia="zh-CN"/>
        </w:rPr>
        <w:t xml:space="preserve">With below revision, draft </w:t>
      </w:r>
      <w:hyperlink r:id="rId11" w:history="1">
        <w:r>
          <w:rPr>
            <w:rStyle w:val="Hyperlink"/>
            <w:szCs w:val="20"/>
            <w:shd w:val="clear" w:color="auto" w:fill="FFFFFF"/>
            <w:lang w:eastAsia="zh-CN"/>
          </w:rPr>
          <w:t>R1-2110599</w:t>
        </w:r>
      </w:hyperlink>
      <w:r w:rsidRPr="00804884">
        <w:rPr>
          <w:szCs w:val="20"/>
          <w:shd w:val="clear" w:color="auto" w:fill="FFFFFF"/>
          <w:lang w:eastAsia="zh-CN"/>
        </w:rPr>
        <w:t xml:space="preserve"> is endorsed in principle</w:t>
      </w:r>
    </w:p>
    <w:p w14:paraId="62B3EE8E" w14:textId="77777777" w:rsidR="00C43B96" w:rsidRPr="00804884" w:rsidRDefault="00C43B96" w:rsidP="00C43B96">
      <w:pPr>
        <w:pStyle w:val="ListParagraph"/>
        <w:numPr>
          <w:ilvl w:val="0"/>
          <w:numId w:val="30"/>
        </w:numPr>
        <w:overflowPunct w:val="0"/>
        <w:autoSpaceDE w:val="0"/>
        <w:autoSpaceDN w:val="0"/>
        <w:adjustRightInd w:val="0"/>
        <w:spacing w:after="180" w:line="240" w:lineRule="auto"/>
        <w:contextualSpacing/>
        <w:textAlignment w:val="baseline"/>
      </w:pPr>
      <w:r w:rsidRPr="00804884">
        <w:rPr>
          <w:iCs/>
          <w:lang w:eastAsia="zh-CN"/>
        </w:rPr>
        <w:t>[RAN2/4] whether it is feasible for a RedCap UE to retune to a CD-SSB rather than use an NCD-SSB of larger periodicity</w:t>
      </w:r>
    </w:p>
    <w:p w14:paraId="2BD3AF07" w14:textId="77777777" w:rsidR="00C43B96" w:rsidRPr="00804884" w:rsidRDefault="00C43B96" w:rsidP="00C43B96">
      <w:pPr>
        <w:pStyle w:val="ListParagraph"/>
        <w:numPr>
          <w:ilvl w:val="0"/>
          <w:numId w:val="30"/>
        </w:numPr>
        <w:overflowPunct w:val="0"/>
        <w:autoSpaceDE w:val="0"/>
        <w:autoSpaceDN w:val="0"/>
        <w:adjustRightInd w:val="0"/>
        <w:spacing w:after="180" w:line="240" w:lineRule="auto"/>
        <w:contextualSpacing/>
        <w:textAlignment w:val="baseline"/>
      </w:pPr>
      <w:r w:rsidRPr="00804884">
        <w:rPr>
          <w:iCs/>
          <w:lang w:eastAsia="zh-CN"/>
        </w:rPr>
        <w:t>Remove the blue part of questions</w:t>
      </w:r>
    </w:p>
    <w:p w14:paraId="72EE7987" w14:textId="77777777" w:rsidR="00C43B96" w:rsidRPr="00804884" w:rsidRDefault="00C43B96" w:rsidP="00C43B96">
      <w:pPr>
        <w:pStyle w:val="ListParagraph"/>
        <w:numPr>
          <w:ilvl w:val="0"/>
          <w:numId w:val="30"/>
        </w:numPr>
        <w:overflowPunct w:val="0"/>
        <w:autoSpaceDE w:val="0"/>
        <w:autoSpaceDN w:val="0"/>
        <w:adjustRightInd w:val="0"/>
        <w:spacing w:after="180" w:line="240" w:lineRule="auto"/>
        <w:contextualSpacing/>
        <w:textAlignment w:val="baseline"/>
      </w:pPr>
      <w:r w:rsidRPr="00804884">
        <w:t xml:space="preserve">[RAN2/4] if </w:t>
      </w:r>
      <w:r w:rsidRPr="00804884">
        <w:rPr>
          <w:strike/>
        </w:rPr>
        <w:t>neither NCD-SSB nor</w:t>
      </w:r>
      <w:r w:rsidRPr="00804884">
        <w:t xml:space="preserve"> CD-SSB is not transmitted in the </w:t>
      </w:r>
      <w:r w:rsidRPr="00804884">
        <w:rPr>
          <w:strike/>
        </w:rPr>
        <w:t>initial/</w:t>
      </w:r>
      <w:r w:rsidRPr="00804884">
        <w:t xml:space="preserve">non-initial DL BWP of RedCap UE, whether it is feasible to transmit periodic CSI-RS for UE to use as an alternative of SSB in the </w:t>
      </w:r>
      <w:r w:rsidRPr="00804884">
        <w:rPr>
          <w:strike/>
        </w:rPr>
        <w:t>initial/</w:t>
      </w:r>
      <w:r w:rsidRPr="00804884">
        <w:t xml:space="preserve">non-initial BWP of RedCap UE or rely on UE performing RF retuning as in </w:t>
      </w:r>
      <w:r w:rsidRPr="00804884">
        <w:lastRenderedPageBreak/>
        <w:t>measurement gap outside active BWP for BWP without SSB nor CORESET#0 operation</w:t>
      </w:r>
      <w:r w:rsidRPr="00804884">
        <w:rPr>
          <w:strike/>
        </w:rPr>
        <w:t>, for idle/inactive/connected mode</w:t>
      </w:r>
    </w:p>
    <w:p w14:paraId="41B93604" w14:textId="77777777" w:rsidR="00C43B96" w:rsidRPr="00804884" w:rsidRDefault="00C43B96" w:rsidP="00C43B96">
      <w:pPr>
        <w:rPr>
          <w:szCs w:val="20"/>
          <w:shd w:val="clear" w:color="auto" w:fill="FFFFFF"/>
          <w:lang w:eastAsia="zh-CN"/>
        </w:rPr>
      </w:pPr>
      <w:r w:rsidRPr="00804884">
        <w:rPr>
          <w:szCs w:val="20"/>
          <w:shd w:val="clear" w:color="auto" w:fill="FFFFFF"/>
          <w:lang w:eastAsia="zh-CN"/>
        </w:rPr>
        <w:t xml:space="preserve">Final LS is </w:t>
      </w:r>
      <w:r w:rsidRPr="00804884">
        <w:rPr>
          <w:szCs w:val="20"/>
          <w:highlight w:val="green"/>
          <w:shd w:val="clear" w:color="auto" w:fill="FFFFFF"/>
          <w:lang w:eastAsia="zh-CN"/>
        </w:rPr>
        <w:t xml:space="preserve">approved in </w:t>
      </w:r>
      <w:hyperlink r:id="rId12" w:history="1">
        <w:r>
          <w:rPr>
            <w:rStyle w:val="Hyperlink"/>
            <w:szCs w:val="20"/>
            <w:highlight w:val="green"/>
            <w:shd w:val="clear" w:color="auto" w:fill="FFFFFF"/>
            <w:lang w:eastAsia="zh-CN"/>
          </w:rPr>
          <w:t>R1-2110600</w:t>
        </w:r>
      </w:hyperlink>
      <w:r w:rsidRPr="00804884">
        <w:rPr>
          <w:szCs w:val="20"/>
          <w:shd w:val="clear" w:color="auto" w:fill="FFFFFF"/>
          <w:lang w:eastAsia="zh-CN"/>
        </w:rPr>
        <w:t>.</w:t>
      </w:r>
    </w:p>
    <w:p w14:paraId="795A0899" w14:textId="77777777" w:rsidR="00C43B96" w:rsidRPr="00FD7F50" w:rsidRDefault="00C43B96" w:rsidP="00C43B96">
      <w:pPr>
        <w:rPr>
          <w:szCs w:val="20"/>
          <w:highlight w:val="cyan"/>
        </w:rPr>
      </w:pPr>
    </w:p>
    <w:p w14:paraId="0E08CAEC" w14:textId="77777777" w:rsidR="00C43B96" w:rsidRPr="00FD7F50" w:rsidRDefault="00C43B96" w:rsidP="00C43B96">
      <w:pPr>
        <w:rPr>
          <w:szCs w:val="20"/>
          <w:highlight w:val="green"/>
        </w:rPr>
      </w:pPr>
      <w:r w:rsidRPr="00FD7F50">
        <w:rPr>
          <w:szCs w:val="20"/>
          <w:highlight w:val="green"/>
        </w:rPr>
        <w:t>Agreement</w:t>
      </w:r>
    </w:p>
    <w:p w14:paraId="025D8499" w14:textId="77777777" w:rsidR="00C43B96" w:rsidRPr="00FD7F50" w:rsidRDefault="00C43B96" w:rsidP="00C43B96">
      <w:pPr>
        <w:rPr>
          <w:szCs w:val="20"/>
        </w:rPr>
      </w:pPr>
      <w:r w:rsidRPr="00FD7F50">
        <w:rPr>
          <w:szCs w:val="20"/>
        </w:rPr>
        <w:t>For FR1,</w:t>
      </w:r>
    </w:p>
    <w:p w14:paraId="58B49249" w14:textId="77777777" w:rsidR="00C43B96" w:rsidRPr="00804884" w:rsidRDefault="00C43B96" w:rsidP="00C43B96">
      <w:pPr>
        <w:pStyle w:val="ListParagraph"/>
        <w:numPr>
          <w:ilvl w:val="0"/>
          <w:numId w:val="31"/>
        </w:numPr>
        <w:overflowPunct w:val="0"/>
        <w:autoSpaceDE w:val="0"/>
        <w:autoSpaceDN w:val="0"/>
        <w:adjustRightInd w:val="0"/>
        <w:spacing w:after="180" w:line="240" w:lineRule="auto"/>
        <w:contextualSpacing/>
        <w:textAlignment w:val="baseline"/>
      </w:pPr>
      <w:r w:rsidRPr="00804884">
        <w:t>For TDD, center frequencies are assumed to be the same for the initial DL (FFS: if it does not include CD-SSB and the entire CORESET#0) and UL BWPs used during random access for RedCap UEs.</w:t>
      </w:r>
    </w:p>
    <w:p w14:paraId="225CD6E9" w14:textId="77777777" w:rsidR="00C43B96" w:rsidRPr="00804884" w:rsidRDefault="00C43B96" w:rsidP="00C43B96">
      <w:pPr>
        <w:pStyle w:val="ListParagraph"/>
        <w:numPr>
          <w:ilvl w:val="1"/>
          <w:numId w:val="31"/>
        </w:numPr>
        <w:overflowPunct w:val="0"/>
        <w:autoSpaceDE w:val="0"/>
        <w:autoSpaceDN w:val="0"/>
        <w:adjustRightInd w:val="0"/>
        <w:spacing w:after="180" w:line="240" w:lineRule="auto"/>
        <w:contextualSpacing/>
        <w:textAlignment w:val="baseline"/>
      </w:pPr>
      <w:r w:rsidRPr="00804884">
        <w:t>FFS: For Option 1 and Option 2, whether the case that the center frequencies are different is also supported, and whether RedCap UE can expect CD-SSB and CORESET#0 in this case</w:t>
      </w:r>
    </w:p>
    <w:p w14:paraId="5EAD71B3" w14:textId="77777777" w:rsidR="00C43B96" w:rsidRPr="00804884" w:rsidRDefault="00C43B96" w:rsidP="00C43B96">
      <w:pPr>
        <w:pStyle w:val="ListParagraph"/>
        <w:numPr>
          <w:ilvl w:val="0"/>
          <w:numId w:val="31"/>
        </w:numPr>
        <w:overflowPunct w:val="0"/>
        <w:autoSpaceDE w:val="0"/>
        <w:autoSpaceDN w:val="0"/>
        <w:adjustRightInd w:val="0"/>
        <w:spacing w:after="180" w:line="240" w:lineRule="auto"/>
        <w:contextualSpacing/>
        <w:textAlignment w:val="baseline"/>
      </w:pPr>
      <w:r w:rsidRPr="00804884">
        <w:t>For TDD, center frequencies are assumed to be the same for non-initial DL and UL BWPs with the same BWP id for a RedCap UE.</w:t>
      </w:r>
    </w:p>
    <w:p w14:paraId="00A8E859" w14:textId="77777777" w:rsidR="009826FC" w:rsidRPr="003570C9" w:rsidRDefault="009826FC" w:rsidP="00565030">
      <w:pPr>
        <w:contextualSpacing/>
        <w:jc w:val="both"/>
        <w:rPr>
          <w:bCs/>
        </w:rPr>
      </w:pPr>
    </w:p>
    <w:p w14:paraId="165CC738" w14:textId="6FE9AE8A" w:rsidR="002063F7" w:rsidRPr="003570C9" w:rsidRDefault="00AA69F6" w:rsidP="00565030">
      <w:pPr>
        <w:contextualSpacing/>
        <w:jc w:val="both"/>
        <w:rPr>
          <w:bCs/>
        </w:rPr>
      </w:pPr>
      <w:r w:rsidRPr="003570C9">
        <w:rPr>
          <w:bCs/>
        </w:rPr>
        <w:t xml:space="preserve">In this </w:t>
      </w:r>
      <w:r w:rsidR="00154DF7" w:rsidRPr="003570C9">
        <w:rPr>
          <w:bCs/>
        </w:rPr>
        <w:t>contribution</w:t>
      </w:r>
      <w:r w:rsidRPr="003570C9">
        <w:rPr>
          <w:bCs/>
        </w:rPr>
        <w:t xml:space="preserve">, we discuss </w:t>
      </w:r>
      <w:r w:rsidR="008E077D">
        <w:rPr>
          <w:bCs/>
        </w:rPr>
        <w:t xml:space="preserve">remaining issues </w:t>
      </w:r>
      <w:r w:rsidR="00A50422">
        <w:rPr>
          <w:bCs/>
        </w:rPr>
        <w:t xml:space="preserve">of </w:t>
      </w:r>
      <w:r w:rsidR="00634EFD" w:rsidRPr="003570C9">
        <w:rPr>
          <w:bCs/>
        </w:rPr>
        <w:t xml:space="preserve">reduced maximum bandwidth </w:t>
      </w:r>
      <w:r w:rsidRPr="003570C9">
        <w:rPr>
          <w:bCs/>
        </w:rPr>
        <w:t>for RedCap UEs.</w:t>
      </w:r>
    </w:p>
    <w:p w14:paraId="54670848" w14:textId="52A3EDA7" w:rsidR="009826FC" w:rsidRDefault="00AB6660" w:rsidP="00565030">
      <w:pPr>
        <w:pStyle w:val="Heading1"/>
        <w:pBdr>
          <w:top w:val="single" w:sz="12" w:space="5" w:color="auto"/>
        </w:pBdr>
        <w:spacing w:line="259" w:lineRule="auto"/>
        <w:jc w:val="both"/>
        <w:rPr>
          <w:rFonts w:cs="Arial"/>
          <w:szCs w:val="32"/>
        </w:rPr>
      </w:pPr>
      <w:r>
        <w:t>I</w:t>
      </w:r>
      <w:r w:rsidRPr="00A35AAA">
        <w:t>nitial DL</w:t>
      </w:r>
      <w:r w:rsidR="002F08E9">
        <w:t>/UL</w:t>
      </w:r>
      <w:r w:rsidRPr="00A35AAA">
        <w:t xml:space="preserve"> BWP</w:t>
      </w:r>
    </w:p>
    <w:p w14:paraId="2AAB578E" w14:textId="77777777" w:rsidR="005C24A6" w:rsidRPr="00940A78" w:rsidRDefault="005C24A6" w:rsidP="00565030">
      <w:pPr>
        <w:spacing w:after="180" w:line="252" w:lineRule="auto"/>
        <w:contextualSpacing/>
        <w:jc w:val="both"/>
        <w:rPr>
          <w:b/>
          <w:bCs/>
          <w:sz w:val="20"/>
          <w:szCs w:val="20"/>
        </w:rPr>
      </w:pPr>
    </w:p>
    <w:p w14:paraId="0EA28286" w14:textId="0F1EB070" w:rsidR="00F507CC" w:rsidRDefault="003649BA" w:rsidP="00565030">
      <w:pPr>
        <w:jc w:val="both"/>
      </w:pPr>
      <w:r w:rsidRPr="003649BA">
        <w:rPr>
          <w:lang w:eastAsia="zh-CN"/>
        </w:rPr>
        <w:t>In idle mode, d</w:t>
      </w:r>
      <w:r w:rsidR="005C24A6">
        <w:rPr>
          <w:lang w:eastAsia="zh-CN"/>
        </w:rPr>
        <w:t>u</w:t>
      </w:r>
      <w:r w:rsidRPr="003649BA">
        <w:rPr>
          <w:lang w:eastAsia="zh-CN"/>
        </w:rPr>
        <w:t>e to th</w:t>
      </w:r>
      <w:r>
        <w:rPr>
          <w:lang w:eastAsia="zh-CN"/>
        </w:rPr>
        <w:t xml:space="preserve">e limited size of the MIB-configured CORESET #0, potential congestion may </w:t>
      </w:r>
      <w:r w:rsidR="002F1C14">
        <w:rPr>
          <w:lang w:eastAsia="zh-CN"/>
        </w:rPr>
        <w:t>occur</w:t>
      </w:r>
      <w:r>
        <w:rPr>
          <w:lang w:eastAsia="zh-CN"/>
        </w:rPr>
        <w:t xml:space="preserve"> when a large number of RedCap and non-RedCap UEs </w:t>
      </w:r>
      <w:r w:rsidR="00AE103E">
        <w:rPr>
          <w:lang w:eastAsia="zh-CN"/>
        </w:rPr>
        <w:t>generate traffic. To mitigate the potential congestion,</w:t>
      </w:r>
      <w:r w:rsidR="002F1C14">
        <w:rPr>
          <w:lang w:eastAsia="zh-CN"/>
        </w:rPr>
        <w:t xml:space="preserve"> a</w:t>
      </w:r>
      <w:r w:rsidR="00AE103E">
        <w:rPr>
          <w:lang w:eastAsia="zh-CN"/>
        </w:rPr>
        <w:t xml:space="preserve"> CORESET </w:t>
      </w:r>
      <w:r w:rsidR="002F1C14">
        <w:rPr>
          <w:lang w:eastAsia="zh-CN"/>
        </w:rPr>
        <w:t xml:space="preserve">dedicated to RedCap UEs </w:t>
      </w:r>
      <w:r w:rsidR="00AE103E">
        <w:rPr>
          <w:lang w:eastAsia="zh-CN"/>
        </w:rPr>
        <w:t xml:space="preserve">and associated search spaces should be configured in the Redcap initial DL BWP. </w:t>
      </w:r>
      <w:r w:rsidR="00AE103E">
        <w:t>Another advantage of this approach would be to minimize or prevent frequency retuning to the MIB-configured CORESET #0 from the RedCap initial DL BWP</w:t>
      </w:r>
      <w:r w:rsidR="005064AF">
        <w:t xml:space="preserve"> to periodically monitor the CSSs for paging and SI</w:t>
      </w:r>
      <w:r w:rsidR="00AE103E">
        <w:t xml:space="preserve">. </w:t>
      </w:r>
      <w:r w:rsidR="005064AF">
        <w:t xml:space="preserve">Such retuning will impose additional complexity to the </w:t>
      </w:r>
      <w:r w:rsidR="005064AF" w:rsidRPr="005064AF">
        <w:t>UE implementation and increases power consumption.</w:t>
      </w:r>
      <w:r w:rsidR="005064AF">
        <w:t xml:space="preserve"> </w:t>
      </w:r>
      <w:r w:rsidR="005064AF" w:rsidRPr="005064AF">
        <w:t xml:space="preserve">Introducing a </w:t>
      </w:r>
      <w:r w:rsidR="0062526B">
        <w:t>dedicated</w:t>
      </w:r>
      <w:r w:rsidR="005064AF" w:rsidRPr="005064AF">
        <w:t xml:space="preserve"> CORESET with associated CSSs to monitor RA/paging/SI should be supported to address these issues.</w:t>
      </w:r>
      <w:r w:rsidR="005064AF">
        <w:t xml:space="preserve"> Similarly, </w:t>
      </w:r>
      <w:r w:rsidR="00447755">
        <w:t xml:space="preserve">for similar reasons, </w:t>
      </w:r>
      <w:r w:rsidR="00BF27AC">
        <w:t>NCD-</w:t>
      </w:r>
      <w:r w:rsidR="003F5CFB">
        <w:t xml:space="preserve">SSB transmission </w:t>
      </w:r>
      <w:r w:rsidR="0062526B">
        <w:t>should</w:t>
      </w:r>
      <w:r w:rsidR="003F5CFB">
        <w:t xml:space="preserve"> also </w:t>
      </w:r>
      <w:r w:rsidR="0062526B">
        <w:t xml:space="preserve">be </w:t>
      </w:r>
      <w:r w:rsidR="003F5CFB">
        <w:t>configurable at least when paging and SI are monitored.</w:t>
      </w:r>
    </w:p>
    <w:p w14:paraId="27635FBA" w14:textId="2119E219" w:rsidR="007E34F3" w:rsidRDefault="007E34F3" w:rsidP="00565030">
      <w:pPr>
        <w:jc w:val="both"/>
      </w:pPr>
      <w:r>
        <w:t xml:space="preserve">To study the feasibility of such an approach, </w:t>
      </w:r>
      <w:r w:rsidR="002F08E9">
        <w:rPr>
          <w:lang w:eastAsia="zh-CN"/>
        </w:rPr>
        <w:t>i</w:t>
      </w:r>
      <w:r>
        <w:rPr>
          <w:lang w:eastAsia="zh-CN"/>
        </w:rPr>
        <w:t xml:space="preserve">n RAN1 #106bis-e, an LS was sent to RAN2/RAN4 to </w:t>
      </w:r>
      <w:r w:rsidRPr="0005536A">
        <w:rPr>
          <w:bCs/>
        </w:rPr>
        <w:t>ask about using NCD-SSB instead of CD-SSB for idle/inactive/connected mode procedures for serving and non-serving cells for a Rel-17 RedCap UE operating with an initial or non-initial DL BWP not containing CD-SSB</w:t>
      </w:r>
      <w:r>
        <w:rPr>
          <w:bCs/>
        </w:rPr>
        <w:t>. We believe that NCD-SSBs can be used for measurements and cell (re)selection</w:t>
      </w:r>
      <w:r w:rsidR="002F08E9">
        <w:rPr>
          <w:bCs/>
        </w:rPr>
        <w:t>,</w:t>
      </w:r>
      <w:r>
        <w:rPr>
          <w:bCs/>
        </w:rPr>
        <w:t xml:space="preserve"> but the UE may </w:t>
      </w:r>
      <w:r w:rsidR="00AE7511">
        <w:rPr>
          <w:bCs/>
        </w:rPr>
        <w:t xml:space="preserve">still </w:t>
      </w:r>
      <w:r>
        <w:rPr>
          <w:bCs/>
        </w:rPr>
        <w:t>need to retune to CORESET#0 to receive the SIBs</w:t>
      </w:r>
      <w:r w:rsidR="00AE7511">
        <w:rPr>
          <w:bCs/>
        </w:rPr>
        <w:t xml:space="preserve"> </w:t>
      </w:r>
      <w:r w:rsidR="002F08E9">
        <w:rPr>
          <w:bCs/>
        </w:rPr>
        <w:t xml:space="preserve">needed </w:t>
      </w:r>
      <w:r w:rsidR="00AE7511">
        <w:rPr>
          <w:bCs/>
        </w:rPr>
        <w:t xml:space="preserve">for cell reselection evaluation. </w:t>
      </w:r>
      <w:r>
        <w:rPr>
          <w:bCs/>
        </w:rPr>
        <w:t xml:space="preserve">This retuning is however not frequent and the NCD-SSBs can be used </w:t>
      </w:r>
      <w:r w:rsidR="00AE7511">
        <w:rPr>
          <w:bCs/>
        </w:rPr>
        <w:t xml:space="preserve">in the new initial DL BWP. </w:t>
      </w:r>
    </w:p>
    <w:p w14:paraId="2D6CD200" w14:textId="6747B755" w:rsidR="007E34F3" w:rsidRDefault="00041B96" w:rsidP="00565030">
      <w:pPr>
        <w:jc w:val="both"/>
        <w:rPr>
          <w:lang w:eastAsia="zh-CN"/>
        </w:rPr>
      </w:pPr>
      <w:r>
        <w:rPr>
          <w:lang w:eastAsia="zh-CN"/>
        </w:rPr>
        <w:t>Therefore, propose that:</w:t>
      </w:r>
    </w:p>
    <w:p w14:paraId="5918B710" w14:textId="0A71C1C9" w:rsidR="00E41ECB" w:rsidRPr="00524D9D" w:rsidRDefault="00E41ECB" w:rsidP="00565030">
      <w:pPr>
        <w:jc w:val="both"/>
        <w:rPr>
          <w:b/>
          <w:bCs/>
          <w:lang w:eastAsia="zh-CN"/>
        </w:rPr>
      </w:pPr>
      <w:r w:rsidRPr="00524D9D">
        <w:rPr>
          <w:b/>
          <w:bCs/>
          <w:lang w:eastAsia="zh-CN"/>
        </w:rPr>
        <w:t>Proposal 1: Option 2 is supported.</w:t>
      </w:r>
    </w:p>
    <w:p w14:paraId="14477CF1" w14:textId="77777777" w:rsidR="008D1637" w:rsidRDefault="008D1637" w:rsidP="008D1637">
      <w:pPr>
        <w:jc w:val="both"/>
        <w:rPr>
          <w:b/>
          <w:bCs/>
        </w:rPr>
      </w:pPr>
      <w:r w:rsidRPr="00447755">
        <w:rPr>
          <w:b/>
          <w:bCs/>
        </w:rPr>
        <w:t xml:space="preserve">Proposal </w:t>
      </w:r>
      <w:r>
        <w:rPr>
          <w:b/>
          <w:bCs/>
        </w:rPr>
        <w:t>2</w:t>
      </w:r>
      <w:r w:rsidRPr="00447755">
        <w:rPr>
          <w:b/>
          <w:bCs/>
        </w:rPr>
        <w:t xml:space="preserve">: </w:t>
      </w:r>
      <w:r>
        <w:rPr>
          <w:b/>
          <w:bCs/>
        </w:rPr>
        <w:t>I</w:t>
      </w:r>
      <w:r w:rsidRPr="00447755">
        <w:rPr>
          <w:b/>
          <w:bCs/>
        </w:rPr>
        <w:t xml:space="preserve">f a separate initial DL BWP for RedCap UEs is configured, configuration of a </w:t>
      </w:r>
      <w:r>
        <w:rPr>
          <w:b/>
          <w:bCs/>
        </w:rPr>
        <w:t>dedicated</w:t>
      </w:r>
      <w:r w:rsidRPr="00447755">
        <w:rPr>
          <w:b/>
          <w:bCs/>
        </w:rPr>
        <w:t xml:space="preserve"> CORESET and associated CSSs </w:t>
      </w:r>
      <w:r>
        <w:rPr>
          <w:b/>
          <w:bCs/>
        </w:rPr>
        <w:t xml:space="preserve">for RA, paging, and SI transmission </w:t>
      </w:r>
      <w:r w:rsidRPr="00447755">
        <w:rPr>
          <w:b/>
          <w:bCs/>
        </w:rPr>
        <w:t>are supported</w:t>
      </w:r>
      <w:r>
        <w:rPr>
          <w:b/>
          <w:bCs/>
        </w:rPr>
        <w:t>.</w:t>
      </w:r>
    </w:p>
    <w:p w14:paraId="263D55F2" w14:textId="18748E0B" w:rsidR="00931B64" w:rsidRDefault="00931B64" w:rsidP="00931B64">
      <w:pPr>
        <w:spacing w:line="22" w:lineRule="atLeast"/>
        <w:jc w:val="both"/>
        <w:rPr>
          <w:lang w:eastAsia="ja-JP"/>
        </w:rPr>
      </w:pPr>
      <w:r>
        <w:rPr>
          <w:lang w:eastAsia="ja-JP"/>
        </w:rPr>
        <w:t>According to 38.213, the common PUCCH resource to be used in the initial uplink BWP is determined as follows:</w:t>
      </w:r>
    </w:p>
    <w:tbl>
      <w:tblPr>
        <w:tblStyle w:val="TableGrid"/>
        <w:tblW w:w="0" w:type="auto"/>
        <w:tblLook w:val="04A0" w:firstRow="1" w:lastRow="0" w:firstColumn="1" w:lastColumn="0" w:noHBand="0" w:noVBand="1"/>
      </w:tblPr>
      <w:tblGrid>
        <w:gridCol w:w="9629"/>
      </w:tblGrid>
      <w:tr w:rsidR="00931B64" w14:paraId="5D9B1DF2" w14:textId="77777777" w:rsidTr="00A139D4">
        <w:tc>
          <w:tcPr>
            <w:tcW w:w="9629" w:type="dxa"/>
          </w:tcPr>
          <w:p w14:paraId="7B47112D" w14:textId="77777777" w:rsidR="00931B64" w:rsidRPr="00B262D1" w:rsidRDefault="00931B64" w:rsidP="00A139D4">
            <w:pPr>
              <w:rPr>
                <w:color w:val="000000"/>
              </w:rPr>
            </w:pPr>
            <w:r w:rsidRPr="00B262D1">
              <w:t xml:space="preserve">If the UE provides HARQ-ACK information in a PUCCH transmission in response to detecting a DCI format scheduling a PDSCH reception or a SPS PDSCH release, the UE determines a PUCCH resource with index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oMath>
            <w:r w:rsidRPr="00B262D1">
              <w:t xml:space="preserve">, </w:t>
            </w:r>
            <m:oMath>
              <m:r>
                <w:rPr>
                  <w:rFonts w:ascii="Cambria Math" w:hAnsi="Cambria Math"/>
                </w:rPr>
                <m:t>0</m:t>
              </m:r>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r>
                <w:rPr>
                  <w:rFonts w:ascii="Cambria Math" w:hAnsi="Cambria Math"/>
                </w:rPr>
                <m:t>≤15</m:t>
              </m:r>
            </m:oMath>
            <w:r w:rsidRPr="00B262D1">
              <w:t xml:space="preserve">, as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⋅n</m:t>
                          </m:r>
                        </m:e>
                        <m:sub>
                          <m:r>
                            <m:rPr>
                              <m:sty m:val="p"/>
                            </m:rPr>
                            <w:rPr>
                              <w:rFonts w:ascii="Cambria Math" w:hAnsi="Cambria Math"/>
                            </w:rPr>
                            <m:t>CCE,0</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CCE</m:t>
                          </m:r>
                        </m:sub>
                      </m:sSub>
                    </m:den>
                  </m:f>
                </m:e>
              </m:d>
              <m:r>
                <w:rPr>
                  <w:rFonts w:ascii="Cambria Math" w:hAnsi="Cambria Math"/>
                </w:rPr>
                <m:t>+2⋅</m:t>
              </m:r>
              <m:sSub>
                <m:sSubPr>
                  <m:ctrlPr>
                    <w:rPr>
                      <w:rFonts w:ascii="Cambria Math" w:hAnsi="Cambria Math"/>
                      <w:i/>
                    </w:rPr>
                  </m:ctrlPr>
                </m:sSubPr>
                <m:e>
                  <m:r>
                    <w:rPr>
                      <w:rFonts w:ascii="Cambria Math" w:hAnsi="Cambria Math"/>
                    </w:rPr>
                    <m:t>∆</m:t>
                  </m:r>
                </m:e>
                <m:sub>
                  <m:r>
                    <m:rPr>
                      <m:sty m:val="p"/>
                    </m:rPr>
                    <w:rPr>
                      <w:rFonts w:ascii="Cambria Math" w:hAnsi="Cambria Math"/>
                    </w:rPr>
                    <m:t>PRI</m:t>
                  </m:r>
                </m:sub>
              </m:sSub>
            </m:oMath>
            <w:r w:rsidRPr="00B262D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sub>
              </m:sSub>
            </m:oMath>
            <w:r w:rsidRPr="00B262D1">
              <w:t xml:space="preserve"> is a number of CCEs in a CORESET of a PDCCH reception with the DCI format, as described in Clause 10.1, </w:t>
            </w:r>
            <m:oMath>
              <m:sSub>
                <m:sSubPr>
                  <m:ctrlPr>
                    <w:rPr>
                      <w:rFonts w:ascii="Cambria Math" w:hAnsi="Cambria Math"/>
                      <w:i/>
                    </w:rPr>
                  </m:ctrlPr>
                </m:sSubPr>
                <m:e>
                  <m:r>
                    <w:rPr>
                      <w:rFonts w:ascii="Cambria Math" w:hAnsi="Cambria Math"/>
                    </w:rPr>
                    <m:t>n</m:t>
                  </m:r>
                </m:e>
                <m:sub>
                  <m:r>
                    <m:rPr>
                      <m:sty m:val="p"/>
                    </m:rPr>
                    <w:rPr>
                      <w:rFonts w:ascii="Cambria Math" w:hAnsi="Cambria Math"/>
                    </w:rPr>
                    <m:t>CCE,0</m:t>
                  </m:r>
                </m:sub>
              </m:sSub>
            </m:oMath>
            <w:r w:rsidRPr="00B262D1">
              <w:t xml:space="preserve"> is </w:t>
            </w:r>
            <w:r w:rsidRPr="00B262D1">
              <w:lastRenderedPageBreak/>
              <w:t xml:space="preserve">the index of a first CCE for the PDCCH reception, and </w:t>
            </w:r>
            <m:oMath>
              <m:sSub>
                <m:sSubPr>
                  <m:ctrlPr>
                    <w:rPr>
                      <w:rFonts w:ascii="Cambria Math" w:hAnsi="Cambria Math"/>
                      <w:i/>
                    </w:rPr>
                  </m:ctrlPr>
                </m:sSubPr>
                <m:e>
                  <m:r>
                    <w:rPr>
                      <w:rFonts w:ascii="Cambria Math" w:hAnsi="Cambria Math"/>
                    </w:rPr>
                    <m:t>∆</m:t>
                  </m:r>
                </m:e>
                <m:sub>
                  <m:r>
                    <m:rPr>
                      <m:sty m:val="p"/>
                    </m:rPr>
                    <w:rPr>
                      <w:rFonts w:ascii="Cambria Math" w:hAnsi="Cambria Math"/>
                    </w:rPr>
                    <m:t>PRI</m:t>
                  </m:r>
                </m:sub>
              </m:sSub>
            </m:oMath>
            <w:r w:rsidRPr="00B262D1">
              <w:rPr>
                <w:lang w:eastAsia="zh-CN"/>
              </w:rPr>
              <w:t xml:space="preserve"> is a value of the PUCCH resource indicator</w:t>
            </w:r>
            <w:r w:rsidRPr="00B262D1">
              <w:t xml:space="preserve"> field in the DCI format.</w:t>
            </w:r>
            <w:r w:rsidRPr="00B262D1">
              <w:rPr>
                <w:color w:val="000000"/>
              </w:rPr>
              <w:t xml:space="preserve"> </w:t>
            </w:r>
          </w:p>
          <w:p w14:paraId="706ADFC9" w14:textId="77777777" w:rsidR="00931B64" w:rsidRPr="00B262D1" w:rsidRDefault="00931B64" w:rsidP="00A139D4">
            <w:r w:rsidRPr="00B262D1">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B262D1">
              <w:t xml:space="preserve"> and a UE is provided a PUCCH resource by </w:t>
            </w:r>
            <w:r w:rsidRPr="00B262D1">
              <w:rPr>
                <w:i/>
              </w:rPr>
              <w:t>pucch-ResourceCommon</w:t>
            </w:r>
            <w:r w:rsidRPr="00B262D1">
              <w:t xml:space="preserve"> and is not provided </w:t>
            </w:r>
            <w:r w:rsidRPr="00B262D1">
              <w:rPr>
                <w:i/>
              </w:rPr>
              <w:t xml:space="preserve">useInterlacePUCCH-PUSCH </w:t>
            </w:r>
            <w:r w:rsidRPr="00B262D1">
              <w:rPr>
                <w:iCs/>
              </w:rPr>
              <w:t xml:space="preserve">in </w:t>
            </w:r>
            <w:r w:rsidRPr="00B262D1">
              <w:rPr>
                <w:i/>
              </w:rPr>
              <w:t>BWP-UplinkCommon</w:t>
            </w:r>
          </w:p>
          <w:p w14:paraId="4F180659" w14:textId="77777777" w:rsidR="00931B64" w:rsidRPr="00B262D1" w:rsidRDefault="00931B64" w:rsidP="00A139D4">
            <w:pPr>
              <w:pStyle w:val="B1"/>
              <w:rPr>
                <w:rFonts w:ascii="Times New Roman" w:hAnsi="Times New Roman"/>
              </w:rPr>
            </w:pPr>
            <w:r w:rsidRPr="00B262D1">
              <w:rPr>
                <w:rFonts w:ascii="Times New Roman" w:hAnsi="Times New Roman"/>
              </w:rPr>
              <w:t>-</w:t>
            </w:r>
            <w:r w:rsidRPr="00B262D1">
              <w:rPr>
                <w:rFonts w:ascii="Times New Roman" w:hAnsi="Times New Roman"/>
              </w:rPr>
              <w:tab/>
              <w:t xml:space="preserve">the UE determines the PRB 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w:rPr>
                              <w:rFonts w:ascii="Times New Roman" w:hAnsi="Times New Roman"/>
                            </w: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r w:rsidRPr="00B262D1">
              <w:rPr>
                <w:rFonts w:ascii="Times New Roman" w:hAnsi="Times New Roman"/>
              </w:rPr>
              <w:t xml:space="preserve"> and the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Times New Roman" w:hAnsi="Times New Roman"/>
                        </w:rPr>
                        <m:t>BWP</m:t>
                      </m:r>
                    </m:sub>
                    <m:sup>
                      <m:r>
                        <m:rPr>
                          <m:nor/>
                        </m:rPr>
                        <w:rPr>
                          <w:rFonts w:ascii="Times New Roman" w:hAnsi="Times New Roman"/>
                        </w:rPr>
                        <m:t>size</m:t>
                      </m:r>
                    </m:sup>
                  </m:sSubSup>
                  <m:r>
                    <w:rPr>
                      <w:rFonts w:ascii="Cambria Math" w:hAnsi="Cambria Math"/>
                    </w:rPr>
                    <m:t>-1-RB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w:rPr>
                              <w:rFonts w:ascii="Times New Roman" w:hAnsi="Times New Roman"/>
                            </w: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r w:rsidRPr="00B262D1">
              <w:rPr>
                <w:rFonts w:ascii="Times New Roman" w:hAnsi="Times New Roma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Pr="00B262D1">
              <w:rPr>
                <w:rFonts w:ascii="Times New Roman" w:hAnsi="Times New Roman"/>
              </w:rPr>
              <w:t xml:space="preserve"> is the total number of initial cyclic shift indexes in the set of initial cyclic shift indexes</w:t>
            </w:r>
          </w:p>
          <w:p w14:paraId="67B86690" w14:textId="77777777" w:rsidR="00931B64" w:rsidRPr="00B262D1" w:rsidRDefault="00931B64" w:rsidP="00A139D4">
            <w:pPr>
              <w:pStyle w:val="B1"/>
              <w:rPr>
                <w:rFonts w:ascii="Times New Roman" w:hAnsi="Times New Roman"/>
              </w:rPr>
            </w:pPr>
            <w:r w:rsidRPr="00B262D1">
              <w:rPr>
                <w:rFonts w:ascii="Times New Roman" w:hAnsi="Times New Roman"/>
              </w:rPr>
              <w:t>-</w:t>
            </w:r>
            <w:r w:rsidRPr="00B262D1">
              <w:rPr>
                <w:rFonts w:ascii="Times New Roman" w:hAnsi="Times New Roman"/>
              </w:rPr>
              <w:tab/>
              <w:t xml:space="preserve">the 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w:rPr>
                      <w:rFonts w:ascii="Times New Roman" w:hAnsi="Times New Roman"/>
                    </w:rPr>
                    <m:t>PUCCH</m:t>
                  </m:r>
                  <m:ctrlPr>
                    <w:rPr>
                      <w:rFonts w:ascii="Cambria Math" w:hAnsi="Cambria Math"/>
                    </w:rPr>
                  </m:ctrlPr>
                </m:sub>
              </m:sSub>
              <m:r>
                <m:rPr>
                  <m:nor/>
                </m:rPr>
                <w:rPr>
                  <w:rFonts w:ascii="Times New Roman" w:hAnsi="Times New Roman"/>
                </w:rPr>
                <m:t>mod</m:t>
              </m:r>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p>
          <w:p w14:paraId="2843812C" w14:textId="77777777" w:rsidR="00931B64" w:rsidRPr="00B262D1" w:rsidRDefault="00931B64" w:rsidP="00A139D4">
            <w:r w:rsidRPr="00B262D1">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B262D1">
              <w:t xml:space="preserve"> and a UE is provided a PUCCH resource by </w:t>
            </w:r>
            <w:r w:rsidRPr="00B262D1">
              <w:rPr>
                <w:i/>
              </w:rPr>
              <w:t>pucch-ResourceCommon</w:t>
            </w:r>
            <w:r w:rsidRPr="00B262D1">
              <w:t xml:space="preserve"> and is not provided </w:t>
            </w:r>
            <w:r w:rsidRPr="00B262D1">
              <w:rPr>
                <w:i/>
              </w:rPr>
              <w:t>useInterlacePUCCH-PUSCH</w:t>
            </w:r>
            <w:r w:rsidRPr="00B262D1">
              <w:rPr>
                <w:iCs/>
              </w:rPr>
              <w:t xml:space="preserve"> in </w:t>
            </w:r>
            <w:r w:rsidRPr="00B262D1">
              <w:rPr>
                <w:i/>
              </w:rPr>
              <w:t>BWP-UplinkCommon</w:t>
            </w:r>
          </w:p>
          <w:p w14:paraId="40BF4D2D" w14:textId="77777777" w:rsidR="00931B64" w:rsidRPr="00B262D1" w:rsidRDefault="00931B64" w:rsidP="00A139D4">
            <w:pPr>
              <w:pStyle w:val="B1"/>
              <w:rPr>
                <w:rFonts w:ascii="Times New Roman" w:hAnsi="Times New Roman"/>
              </w:rPr>
            </w:pPr>
            <w:r w:rsidRPr="00B262D1">
              <w:rPr>
                <w:rFonts w:ascii="Times New Roman" w:hAnsi="Times New Roman"/>
              </w:rPr>
              <w:t>-</w:t>
            </w:r>
            <w:r w:rsidRPr="00B262D1">
              <w:rPr>
                <w:rFonts w:ascii="Times New Roman" w:hAnsi="Times New Roman"/>
              </w:rPr>
              <w:tab/>
              <w:t xml:space="preserve">the UE determines the PRB 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Times New Roman" w:hAnsi="Times New Roman"/>
                        </w:rPr>
                        <m:t>BWP</m:t>
                      </m:r>
                    </m:sub>
                    <m:sup>
                      <m:r>
                        <m:rPr>
                          <m:nor/>
                        </m:rPr>
                        <w:rPr>
                          <w:rFonts w:ascii="Times New Roman" w:hAnsi="Times New Roman"/>
                        </w:rPr>
                        <m:t>size</m:t>
                      </m:r>
                    </m:sup>
                  </m:sSubSup>
                  <m:r>
                    <w:rPr>
                      <w:rFonts w:ascii="Cambria Math" w:hAnsi="Cambria Math"/>
                    </w:rPr>
                    <m:t>-1-RB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w:rPr>
                                  <w:rFonts w:ascii="Times New Roman" w:hAnsi="Times New Roman"/>
                                </w:rPr>
                                <m:t>PUCCH</m:t>
                              </m:r>
                              <m:ctrlPr>
                                <w:rPr>
                                  <w:rFonts w:ascii="Cambria Math" w:hAnsi="Cambria Math"/>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r w:rsidRPr="00B262D1">
              <w:rPr>
                <w:rFonts w:ascii="Times New Roman" w:hAnsi="Times New Roman"/>
              </w:rPr>
              <w:t xml:space="preserve"> and the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w:rPr>
                                  <w:rFonts w:ascii="Times New Roman" w:hAnsi="Times New Roman"/>
                                </w:rPr>
                                <m:t>PUCCH</m:t>
                              </m:r>
                              <m:ctrlPr>
                                <w:rPr>
                                  <w:rFonts w:ascii="Cambria Math" w:hAnsi="Cambria Math"/>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r w:rsidRPr="00B262D1">
              <w:rPr>
                <w:rFonts w:ascii="Times New Roman" w:hAnsi="Times New Roman"/>
              </w:rPr>
              <w:t xml:space="preserve"> </w:t>
            </w:r>
          </w:p>
          <w:p w14:paraId="0600892C" w14:textId="77777777" w:rsidR="00931B64" w:rsidRPr="00B262D1" w:rsidRDefault="00931B64" w:rsidP="00A139D4">
            <w:pPr>
              <w:pStyle w:val="B1"/>
              <w:rPr>
                <w:rFonts w:ascii="Times New Roman" w:hAnsi="Times New Roman"/>
              </w:rPr>
            </w:pPr>
            <w:r w:rsidRPr="00B262D1">
              <w:rPr>
                <w:rFonts w:ascii="Times New Roman" w:hAnsi="Times New Roman"/>
              </w:rPr>
              <w:t>-</w:t>
            </w:r>
            <w:r w:rsidRPr="00B262D1">
              <w:rPr>
                <w:rFonts w:ascii="Times New Roman" w:hAnsi="Times New Roman"/>
              </w:rPr>
              <w:tab/>
              <w:t xml:space="preserve">the UE determines the initial cyclic shift index in the set of initial cyclic shift indexes as </w:t>
            </w:r>
            <w:r w:rsidRPr="00B262D1">
              <w:rPr>
                <w:rFonts w:ascii="Times New Roman" w:hAnsi="Times New Roman"/>
                <w:noProof/>
                <w:position w:val="-10"/>
              </w:rPr>
              <w:drawing>
                <wp:inline distT="0" distB="0" distL="0" distR="0" wp14:anchorId="22D8B943" wp14:editId="6F480BD7">
                  <wp:extent cx="1009650" cy="2032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9650" cy="203200"/>
                          </a:xfrm>
                          <a:prstGeom prst="rect">
                            <a:avLst/>
                          </a:prstGeom>
                          <a:noFill/>
                          <a:ln>
                            <a:noFill/>
                          </a:ln>
                        </pic:spPr>
                      </pic:pic>
                    </a:graphicData>
                  </a:graphic>
                </wp:inline>
              </w:drawing>
            </w:r>
          </w:p>
        </w:tc>
      </w:tr>
    </w:tbl>
    <w:p w14:paraId="4049BA04" w14:textId="4A7A0786" w:rsidR="00CB5053" w:rsidRDefault="00CB5053" w:rsidP="00565030">
      <w:pPr>
        <w:jc w:val="both"/>
      </w:pPr>
    </w:p>
    <w:p w14:paraId="52FEFDA6" w14:textId="33617FCE" w:rsidR="00931B64" w:rsidRDefault="00931B64" w:rsidP="00565030">
      <w:pPr>
        <w:jc w:val="both"/>
      </w:pPr>
      <w:r>
        <w:t xml:space="preserve">When </w:t>
      </w:r>
      <w:r w:rsidRPr="00FD7F50">
        <w:t>intra-slot PUCCH frequency hopping (FH) within the separate initial UL BWP in the PUCCH resource</w:t>
      </w:r>
      <w:r>
        <w:t xml:space="preserve"> is disable</w:t>
      </w:r>
      <w:r w:rsidR="009D5044">
        <w:t>d</w:t>
      </w:r>
      <w:r>
        <w:t xml:space="preserve"> with the SIB, the UE can simply use the PRB index of the PUCCH transmission in the first hop in the second hop as well. </w:t>
      </w:r>
      <w:r w:rsidR="00D17EA7">
        <w:t>So</w:t>
      </w:r>
      <w:r>
        <w:t xml:space="preserve">, the specification </w:t>
      </w:r>
      <w:r w:rsidR="00D17EA7">
        <w:t>impact</w:t>
      </w:r>
      <w:r>
        <w:t xml:space="preserve"> is minimal.</w:t>
      </w:r>
      <w:r w:rsidR="00D17EA7">
        <w:t xml:space="preserve"> Furthermore, w</w:t>
      </w:r>
      <w:r w:rsidR="009D5044">
        <w:t xml:space="preserve">e do not think any specification changes are necessary to support </w:t>
      </w:r>
      <w:r w:rsidR="009D5044" w:rsidRPr="00FD7F50">
        <w:t>multiplexing of non-FH and FH PUCCH transmissions in PUCCH resources</w:t>
      </w:r>
      <w:r w:rsidR="009D5044">
        <w:t xml:space="preserve"> and such multiplexing can be achieved by gNB configuration.</w:t>
      </w:r>
    </w:p>
    <w:p w14:paraId="50CAF2D8" w14:textId="47975DFA" w:rsidR="009D5044" w:rsidRPr="009D5044" w:rsidRDefault="009D5044" w:rsidP="00292560">
      <w:pPr>
        <w:jc w:val="both"/>
        <w:rPr>
          <w:b/>
          <w:bCs/>
        </w:rPr>
      </w:pPr>
      <w:r w:rsidRPr="009D5044">
        <w:rPr>
          <w:b/>
          <w:bCs/>
        </w:rPr>
        <w:t>Proposal 3: When intra-slot PUCCH FH within the separate initial UL BWP in the PUCCH resource is disabled, the PRB index of the PUCCH transmission in the first hop is also used in the second hop.</w:t>
      </w:r>
    </w:p>
    <w:p w14:paraId="435E2F8A" w14:textId="3A8941D1" w:rsidR="009D5044" w:rsidRPr="009D5044" w:rsidRDefault="009D5044" w:rsidP="00292560">
      <w:pPr>
        <w:jc w:val="both"/>
        <w:rPr>
          <w:b/>
          <w:bCs/>
        </w:rPr>
      </w:pPr>
      <w:r w:rsidRPr="009D5044">
        <w:rPr>
          <w:b/>
          <w:bCs/>
        </w:rPr>
        <w:t xml:space="preserve">Proposal 4: No </w:t>
      </w:r>
      <w:r w:rsidR="00C378CD" w:rsidRPr="009D5044">
        <w:rPr>
          <w:b/>
          <w:bCs/>
        </w:rPr>
        <w:t>specification</w:t>
      </w:r>
      <w:r w:rsidRPr="009D5044">
        <w:rPr>
          <w:b/>
          <w:bCs/>
        </w:rPr>
        <w:t xml:space="preserve"> change is needed to support multiplexing of non-FH and FH PUCCH transmissions.</w:t>
      </w:r>
    </w:p>
    <w:p w14:paraId="73A555FC" w14:textId="05C0F40D" w:rsidR="000A5764" w:rsidRPr="00346012" w:rsidRDefault="000A5764" w:rsidP="00565030">
      <w:pPr>
        <w:pStyle w:val="Heading1"/>
        <w:pBdr>
          <w:top w:val="single" w:sz="12" w:space="5" w:color="auto"/>
        </w:pBdr>
        <w:spacing w:after="160" w:line="22" w:lineRule="atLeast"/>
        <w:jc w:val="both"/>
        <w:rPr>
          <w:rFonts w:ascii="Times New Roman" w:hAnsi="Times New Roman"/>
          <w:szCs w:val="32"/>
          <w:lang w:val="en-US"/>
        </w:rPr>
      </w:pPr>
      <w:r w:rsidRPr="008645A0">
        <w:rPr>
          <w:rFonts w:cs="Arial"/>
          <w:szCs w:val="32"/>
        </w:rPr>
        <w:t>Conclusion</w:t>
      </w:r>
    </w:p>
    <w:p w14:paraId="0391582F" w14:textId="1C669671" w:rsidR="00B60031" w:rsidRDefault="00B60031" w:rsidP="00565030">
      <w:pPr>
        <w:jc w:val="both"/>
        <w:rPr>
          <w:lang w:val="en-GB" w:eastAsia="zh-CN"/>
        </w:rPr>
      </w:pPr>
      <w:r w:rsidRPr="005A60FD">
        <w:rPr>
          <w:lang w:val="en-GB" w:eastAsia="zh-CN"/>
        </w:rPr>
        <w:t>This contribution</w:t>
      </w:r>
      <w:r w:rsidR="00844033" w:rsidRPr="005A60FD">
        <w:rPr>
          <w:lang w:val="en-GB" w:eastAsia="zh-CN"/>
        </w:rPr>
        <w:t xml:space="preserve"> has discussed </w:t>
      </w:r>
      <w:r w:rsidR="00A77175">
        <w:rPr>
          <w:lang w:val="en-GB" w:eastAsia="zh-CN"/>
        </w:rPr>
        <w:t xml:space="preserve">several remaining issues of </w:t>
      </w:r>
      <w:r w:rsidR="00FA7D5C">
        <w:rPr>
          <w:lang w:val="en-GB" w:eastAsia="zh-CN"/>
        </w:rPr>
        <w:t>reduced maximum bandwidth for RedCap UEs. The following proposal</w:t>
      </w:r>
      <w:r w:rsidR="00A81DE6">
        <w:rPr>
          <w:lang w:val="en-GB" w:eastAsia="zh-CN"/>
        </w:rPr>
        <w:t>s</w:t>
      </w:r>
      <w:r w:rsidR="00FA7D5C">
        <w:rPr>
          <w:lang w:val="en-GB" w:eastAsia="zh-CN"/>
        </w:rPr>
        <w:t xml:space="preserve"> have been made:</w:t>
      </w:r>
    </w:p>
    <w:p w14:paraId="060CCCA2" w14:textId="77777777" w:rsidR="00C378CD" w:rsidRPr="00524D9D" w:rsidRDefault="00C378CD" w:rsidP="00C378CD">
      <w:pPr>
        <w:jc w:val="both"/>
        <w:rPr>
          <w:b/>
          <w:bCs/>
          <w:lang w:eastAsia="zh-CN"/>
        </w:rPr>
      </w:pPr>
      <w:r w:rsidRPr="00524D9D">
        <w:rPr>
          <w:b/>
          <w:bCs/>
          <w:lang w:eastAsia="zh-CN"/>
        </w:rPr>
        <w:t>Proposal 1: Option 2 is supported.</w:t>
      </w:r>
    </w:p>
    <w:p w14:paraId="34130DF0" w14:textId="653CCD53" w:rsidR="00C378CD" w:rsidRDefault="00C378CD" w:rsidP="00C378CD">
      <w:pPr>
        <w:jc w:val="both"/>
        <w:rPr>
          <w:b/>
          <w:bCs/>
        </w:rPr>
      </w:pPr>
      <w:r w:rsidRPr="00447755">
        <w:rPr>
          <w:b/>
          <w:bCs/>
        </w:rPr>
        <w:t xml:space="preserve">Proposal </w:t>
      </w:r>
      <w:r>
        <w:rPr>
          <w:b/>
          <w:bCs/>
        </w:rPr>
        <w:t>2</w:t>
      </w:r>
      <w:r w:rsidRPr="00447755">
        <w:rPr>
          <w:b/>
          <w:bCs/>
        </w:rPr>
        <w:t xml:space="preserve">: </w:t>
      </w:r>
      <w:r>
        <w:rPr>
          <w:b/>
          <w:bCs/>
        </w:rPr>
        <w:t>I</w:t>
      </w:r>
      <w:r w:rsidRPr="00447755">
        <w:rPr>
          <w:b/>
          <w:bCs/>
        </w:rPr>
        <w:t xml:space="preserve">f a separate initial DL BWP for RedCap UEs is configured, configuration of a </w:t>
      </w:r>
      <w:r>
        <w:rPr>
          <w:b/>
          <w:bCs/>
        </w:rPr>
        <w:t>dedicated</w:t>
      </w:r>
      <w:r w:rsidRPr="00447755">
        <w:rPr>
          <w:b/>
          <w:bCs/>
        </w:rPr>
        <w:t xml:space="preserve"> CORESET and associated CSSs </w:t>
      </w:r>
      <w:r>
        <w:rPr>
          <w:b/>
          <w:bCs/>
        </w:rPr>
        <w:t>for RA, paging, and SI transmission</w:t>
      </w:r>
      <w:r w:rsidR="00F85E9E">
        <w:rPr>
          <w:b/>
          <w:bCs/>
        </w:rPr>
        <w:t xml:space="preserve"> </w:t>
      </w:r>
      <w:r w:rsidR="00F85E9E" w:rsidRPr="00447755">
        <w:rPr>
          <w:b/>
          <w:bCs/>
        </w:rPr>
        <w:t>are supported</w:t>
      </w:r>
      <w:r w:rsidR="00F85E9E">
        <w:rPr>
          <w:b/>
          <w:bCs/>
        </w:rPr>
        <w:t>.</w:t>
      </w:r>
    </w:p>
    <w:p w14:paraId="26E59D88" w14:textId="77777777" w:rsidR="00C378CD" w:rsidRPr="009D5044" w:rsidRDefault="00C378CD" w:rsidP="00C378CD">
      <w:pPr>
        <w:jc w:val="both"/>
        <w:rPr>
          <w:b/>
          <w:bCs/>
        </w:rPr>
      </w:pPr>
      <w:r w:rsidRPr="009D5044">
        <w:rPr>
          <w:b/>
          <w:bCs/>
        </w:rPr>
        <w:t>Proposal 3: When intra-slot PUCCH FH within the separate initial UL BWP in the PUCCH resource is disabled, the PRB index of the PUCCH transmission in the first hop is also used in the second hop.</w:t>
      </w:r>
    </w:p>
    <w:p w14:paraId="51D92E5E" w14:textId="77777777" w:rsidR="00C378CD" w:rsidRPr="009D5044" w:rsidRDefault="00C378CD" w:rsidP="00C378CD">
      <w:pPr>
        <w:jc w:val="both"/>
        <w:rPr>
          <w:b/>
          <w:bCs/>
        </w:rPr>
      </w:pPr>
      <w:r w:rsidRPr="009D5044">
        <w:rPr>
          <w:b/>
          <w:bCs/>
        </w:rPr>
        <w:t>Proposal 4: No specification change is needed to support multiplexing of non-FH and FH PUCCH transmissions.</w:t>
      </w:r>
    </w:p>
    <w:p w14:paraId="5CF8A4B5" w14:textId="6050227E" w:rsidR="00033C94" w:rsidRDefault="000A5764" w:rsidP="00565030">
      <w:pPr>
        <w:pStyle w:val="Heading1"/>
        <w:pBdr>
          <w:top w:val="single" w:sz="12" w:space="5" w:color="auto"/>
        </w:pBdr>
        <w:spacing w:after="160" w:line="22" w:lineRule="atLeast"/>
        <w:jc w:val="both"/>
        <w:rPr>
          <w:rFonts w:cs="Arial"/>
          <w:szCs w:val="32"/>
        </w:rPr>
      </w:pPr>
      <w:r w:rsidRPr="008645A0">
        <w:rPr>
          <w:rFonts w:cs="Arial"/>
          <w:szCs w:val="32"/>
        </w:rPr>
        <w:t>References</w:t>
      </w:r>
    </w:p>
    <w:p w14:paraId="445F0D43" w14:textId="6CEEFE54" w:rsidR="004B4728" w:rsidRPr="00984A57" w:rsidRDefault="00265294" w:rsidP="00C378CD">
      <w:pPr>
        <w:pStyle w:val="Reference"/>
        <w:numPr>
          <w:ilvl w:val="0"/>
          <w:numId w:val="0"/>
        </w:numPr>
        <w:overflowPunct w:val="0"/>
        <w:autoSpaceDE w:val="0"/>
        <w:autoSpaceDN w:val="0"/>
        <w:adjustRightInd w:val="0"/>
        <w:spacing w:line="240" w:lineRule="auto"/>
        <w:ind w:left="567" w:hanging="567"/>
        <w:jc w:val="both"/>
        <w:textAlignment w:val="baseline"/>
        <w:rPr>
          <w:sz w:val="20"/>
        </w:rPr>
      </w:pPr>
      <w:r>
        <w:rPr>
          <w:rFonts w:eastAsia="Arial Unicode MS"/>
        </w:rPr>
        <w:t xml:space="preserve">[1] </w:t>
      </w:r>
      <w:r w:rsidRPr="0020665C">
        <w:rPr>
          <w:rFonts w:eastAsia="Arial Unicode MS"/>
        </w:rPr>
        <w:t>Chairman’s Notes, 3GPP WG1 #10</w:t>
      </w:r>
      <w:r w:rsidR="00594272">
        <w:rPr>
          <w:rFonts w:eastAsia="Arial Unicode MS"/>
        </w:rPr>
        <w:t>6</w:t>
      </w:r>
      <w:r w:rsidR="002F08E9">
        <w:rPr>
          <w:rFonts w:eastAsia="Arial Unicode MS"/>
        </w:rPr>
        <w:t>bis</w:t>
      </w:r>
      <w:r w:rsidRPr="0020665C">
        <w:rPr>
          <w:rFonts w:eastAsia="Arial Unicode MS"/>
        </w:rPr>
        <w:t>-e</w:t>
      </w:r>
    </w:p>
    <w:sectPr w:rsidR="004B4728" w:rsidRPr="00984A5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C58F4" w14:textId="77777777" w:rsidR="005A5BFB" w:rsidRDefault="005A5BFB">
      <w:r>
        <w:separator/>
      </w:r>
    </w:p>
  </w:endnote>
  <w:endnote w:type="continuationSeparator" w:id="0">
    <w:p w14:paraId="2637EAE9" w14:textId="77777777" w:rsidR="005A5BFB" w:rsidRDefault="005A5BFB">
      <w:r>
        <w:continuationSeparator/>
      </w:r>
    </w:p>
  </w:endnote>
  <w:endnote w:type="continuationNotice" w:id="1">
    <w:p w14:paraId="70B9260C" w14:textId="77777777" w:rsidR="005A5BFB" w:rsidRDefault="005A5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3AC64" w14:textId="77777777" w:rsidR="005A5BFB" w:rsidRDefault="005A5BFB">
      <w:r>
        <w:separator/>
      </w:r>
    </w:p>
  </w:footnote>
  <w:footnote w:type="continuationSeparator" w:id="0">
    <w:p w14:paraId="0B23D534" w14:textId="77777777" w:rsidR="005A5BFB" w:rsidRDefault="005A5BFB">
      <w:r>
        <w:continuationSeparator/>
      </w:r>
    </w:p>
  </w:footnote>
  <w:footnote w:type="continuationNotice" w:id="1">
    <w:p w14:paraId="1C72B600" w14:textId="77777777" w:rsidR="005A5BFB" w:rsidRDefault="005A5B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FCA820"/>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FD4303"/>
    <w:multiLevelType w:val="multilevel"/>
    <w:tmpl w:val="02FD43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E86E1D"/>
    <w:multiLevelType w:val="hybridMultilevel"/>
    <w:tmpl w:val="5AD04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53985"/>
    <w:multiLevelType w:val="hybridMultilevel"/>
    <w:tmpl w:val="A8CC3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3240" w:hanging="72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2828F8"/>
    <w:multiLevelType w:val="multilevel"/>
    <w:tmpl w:val="C02A9E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8F86064"/>
    <w:multiLevelType w:val="hybridMultilevel"/>
    <w:tmpl w:val="3C62CF7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A6244D"/>
    <w:multiLevelType w:val="multilevel"/>
    <w:tmpl w:val="556F3A6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20568C"/>
    <w:multiLevelType w:val="hybridMultilevel"/>
    <w:tmpl w:val="587E6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721D99"/>
    <w:multiLevelType w:val="hybridMultilevel"/>
    <w:tmpl w:val="6076E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F3A66"/>
    <w:multiLevelType w:val="multilevel"/>
    <w:tmpl w:val="556F3A6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4111EF"/>
    <w:multiLevelType w:val="hybridMultilevel"/>
    <w:tmpl w:val="7B888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8361AA"/>
    <w:multiLevelType w:val="multilevel"/>
    <w:tmpl w:val="C74E80D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FB2392"/>
    <w:multiLevelType w:val="multilevel"/>
    <w:tmpl w:val="6CFB239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31120D9"/>
    <w:multiLevelType w:val="hybridMultilevel"/>
    <w:tmpl w:val="C272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3"/>
  </w:num>
  <w:num w:numId="4">
    <w:abstractNumId w:val="14"/>
  </w:num>
  <w:num w:numId="5">
    <w:abstractNumId w:val="9"/>
  </w:num>
  <w:num w:numId="6">
    <w:abstractNumId w:val="15"/>
  </w:num>
  <w:num w:numId="7">
    <w:abstractNumId w:val="24"/>
  </w:num>
  <w:num w:numId="8">
    <w:abstractNumId w:val="10"/>
  </w:num>
  <w:num w:numId="9">
    <w:abstractNumId w:val="30"/>
  </w:num>
  <w:num w:numId="10">
    <w:abstractNumId w:val="12"/>
    <w:lvlOverride w:ilvl="0">
      <w:startOverride w:val="1"/>
    </w:lvlOverride>
  </w:num>
  <w:num w:numId="11">
    <w:abstractNumId w:val="17"/>
  </w:num>
  <w:num w:numId="12">
    <w:abstractNumId w:val="19"/>
  </w:num>
  <w:num w:numId="13">
    <w:abstractNumId w:val="4"/>
  </w:num>
  <w:num w:numId="14">
    <w:abstractNumId w:val="22"/>
  </w:num>
  <w:num w:numId="15">
    <w:abstractNumId w:val="29"/>
  </w:num>
  <w:num w:numId="16">
    <w:abstractNumId w:val="2"/>
  </w:num>
  <w:num w:numId="17">
    <w:abstractNumId w:val="6"/>
  </w:num>
  <w:num w:numId="18">
    <w:abstractNumId w:val="27"/>
  </w:num>
  <w:num w:numId="19">
    <w:abstractNumId w:val="16"/>
  </w:num>
  <w:num w:numId="20">
    <w:abstractNumId w:val="11"/>
  </w:num>
  <w:num w:numId="21">
    <w:abstractNumId w:val="23"/>
  </w:num>
  <w:num w:numId="22">
    <w:abstractNumId w:val="8"/>
  </w:num>
  <w:num w:numId="23">
    <w:abstractNumId w:val="1"/>
  </w:num>
  <w:num w:numId="24">
    <w:abstractNumId w:val="28"/>
  </w:num>
  <w:num w:numId="25">
    <w:abstractNumId w:val="26"/>
  </w:num>
  <w:num w:numId="26">
    <w:abstractNumId w:val="25"/>
  </w:num>
  <w:num w:numId="27">
    <w:abstractNumId w:val="20"/>
  </w:num>
  <w:num w:numId="28">
    <w:abstractNumId w:val="5"/>
  </w:num>
  <w:num w:numId="29">
    <w:abstractNumId w:val="3"/>
  </w:num>
  <w:num w:numId="30">
    <w:abstractNumId w:val="7"/>
  </w:num>
  <w:num w:numId="3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2F78"/>
    <w:rsid w:val="0001437C"/>
    <w:rsid w:val="00014BF8"/>
    <w:rsid w:val="00015039"/>
    <w:rsid w:val="000153E9"/>
    <w:rsid w:val="00015D15"/>
    <w:rsid w:val="0001611C"/>
    <w:rsid w:val="00016386"/>
    <w:rsid w:val="000164BC"/>
    <w:rsid w:val="0001694D"/>
    <w:rsid w:val="00016C0D"/>
    <w:rsid w:val="00017074"/>
    <w:rsid w:val="000179A9"/>
    <w:rsid w:val="00020508"/>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EA8"/>
    <w:rsid w:val="00035EDA"/>
    <w:rsid w:val="00035F74"/>
    <w:rsid w:val="000364B5"/>
    <w:rsid w:val="00036BA1"/>
    <w:rsid w:val="00037693"/>
    <w:rsid w:val="000405A0"/>
    <w:rsid w:val="00040B78"/>
    <w:rsid w:val="0004149C"/>
    <w:rsid w:val="00041A70"/>
    <w:rsid w:val="00041B96"/>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0A4"/>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774"/>
    <w:rsid w:val="000A0028"/>
    <w:rsid w:val="000A0276"/>
    <w:rsid w:val="000A19E5"/>
    <w:rsid w:val="000A1B7B"/>
    <w:rsid w:val="000A1BBD"/>
    <w:rsid w:val="000A22F2"/>
    <w:rsid w:val="000A2538"/>
    <w:rsid w:val="000A3063"/>
    <w:rsid w:val="000A3F21"/>
    <w:rsid w:val="000A447B"/>
    <w:rsid w:val="000A56F2"/>
    <w:rsid w:val="000A5764"/>
    <w:rsid w:val="000A6F93"/>
    <w:rsid w:val="000A7DC3"/>
    <w:rsid w:val="000B0223"/>
    <w:rsid w:val="000B02A2"/>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91F"/>
    <w:rsid w:val="000C2C1D"/>
    <w:rsid w:val="000C2CD0"/>
    <w:rsid w:val="000C2E19"/>
    <w:rsid w:val="000C3794"/>
    <w:rsid w:val="000C3AB3"/>
    <w:rsid w:val="000C4C53"/>
    <w:rsid w:val="000C501B"/>
    <w:rsid w:val="000C50FA"/>
    <w:rsid w:val="000C53CC"/>
    <w:rsid w:val="000C5AFA"/>
    <w:rsid w:val="000C5D3A"/>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62D"/>
    <w:rsid w:val="000E18EA"/>
    <w:rsid w:val="000E1E92"/>
    <w:rsid w:val="000E20F9"/>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7D1"/>
    <w:rsid w:val="00105E18"/>
    <w:rsid w:val="00106117"/>
    <w:rsid w:val="001062FB"/>
    <w:rsid w:val="001063E6"/>
    <w:rsid w:val="00106B59"/>
    <w:rsid w:val="001070B9"/>
    <w:rsid w:val="0011092E"/>
    <w:rsid w:val="00110E4E"/>
    <w:rsid w:val="00110EBC"/>
    <w:rsid w:val="001110FA"/>
    <w:rsid w:val="001112F3"/>
    <w:rsid w:val="00111D66"/>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1B"/>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656"/>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6BEE"/>
    <w:rsid w:val="00147BDE"/>
    <w:rsid w:val="001502B4"/>
    <w:rsid w:val="001506B3"/>
    <w:rsid w:val="00150C1E"/>
    <w:rsid w:val="001510DF"/>
    <w:rsid w:val="0015190F"/>
    <w:rsid w:val="00151E23"/>
    <w:rsid w:val="001523B7"/>
    <w:rsid w:val="00152682"/>
    <w:rsid w:val="001526E0"/>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773C0"/>
    <w:rsid w:val="001778DE"/>
    <w:rsid w:val="00180304"/>
    <w:rsid w:val="00180B6F"/>
    <w:rsid w:val="0018143F"/>
    <w:rsid w:val="00181551"/>
    <w:rsid w:val="00181D12"/>
    <w:rsid w:val="00182750"/>
    <w:rsid w:val="00182A96"/>
    <w:rsid w:val="00182E1A"/>
    <w:rsid w:val="001833D1"/>
    <w:rsid w:val="001833FB"/>
    <w:rsid w:val="00183599"/>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ABA"/>
    <w:rsid w:val="001940F5"/>
    <w:rsid w:val="00194249"/>
    <w:rsid w:val="001944CD"/>
    <w:rsid w:val="0019468F"/>
    <w:rsid w:val="00194E68"/>
    <w:rsid w:val="001965C4"/>
    <w:rsid w:val="001975F2"/>
    <w:rsid w:val="00197DF9"/>
    <w:rsid w:val="001A0FD6"/>
    <w:rsid w:val="001A11F0"/>
    <w:rsid w:val="001A12A1"/>
    <w:rsid w:val="001A1986"/>
    <w:rsid w:val="001A1987"/>
    <w:rsid w:val="001A1C2A"/>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CE1"/>
    <w:rsid w:val="001D6D53"/>
    <w:rsid w:val="001D783F"/>
    <w:rsid w:val="001D79A1"/>
    <w:rsid w:val="001D7A02"/>
    <w:rsid w:val="001D7ED9"/>
    <w:rsid w:val="001E0033"/>
    <w:rsid w:val="001E0180"/>
    <w:rsid w:val="001E018C"/>
    <w:rsid w:val="001E0427"/>
    <w:rsid w:val="001E076C"/>
    <w:rsid w:val="001E0A3B"/>
    <w:rsid w:val="001E0B68"/>
    <w:rsid w:val="001E0E46"/>
    <w:rsid w:val="001E109D"/>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0A"/>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18"/>
    <w:rsid w:val="002435B3"/>
    <w:rsid w:val="00244040"/>
    <w:rsid w:val="002443DE"/>
    <w:rsid w:val="0024566A"/>
    <w:rsid w:val="00245766"/>
    <w:rsid w:val="002458EB"/>
    <w:rsid w:val="002461EF"/>
    <w:rsid w:val="002462D0"/>
    <w:rsid w:val="00246594"/>
    <w:rsid w:val="002468B7"/>
    <w:rsid w:val="0024729C"/>
    <w:rsid w:val="00247BC4"/>
    <w:rsid w:val="002502F9"/>
    <w:rsid w:val="002506C7"/>
    <w:rsid w:val="0025091D"/>
    <w:rsid w:val="00251316"/>
    <w:rsid w:val="00251615"/>
    <w:rsid w:val="002518B0"/>
    <w:rsid w:val="00251B4A"/>
    <w:rsid w:val="00251DE3"/>
    <w:rsid w:val="0025243C"/>
    <w:rsid w:val="00252532"/>
    <w:rsid w:val="00252933"/>
    <w:rsid w:val="002536A0"/>
    <w:rsid w:val="0025555E"/>
    <w:rsid w:val="00255D36"/>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C0A"/>
    <w:rsid w:val="002850AC"/>
    <w:rsid w:val="0028606E"/>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560"/>
    <w:rsid w:val="00292EB7"/>
    <w:rsid w:val="002937A1"/>
    <w:rsid w:val="00294544"/>
    <w:rsid w:val="00295BE1"/>
    <w:rsid w:val="00295FCF"/>
    <w:rsid w:val="00296227"/>
    <w:rsid w:val="00296314"/>
    <w:rsid w:val="002964A7"/>
    <w:rsid w:val="00296F44"/>
    <w:rsid w:val="00297368"/>
    <w:rsid w:val="0029777D"/>
    <w:rsid w:val="002A055E"/>
    <w:rsid w:val="002A0ABC"/>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626"/>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659A"/>
    <w:rsid w:val="002E689B"/>
    <w:rsid w:val="002E7003"/>
    <w:rsid w:val="002E7CAE"/>
    <w:rsid w:val="002E7F8F"/>
    <w:rsid w:val="002F07A4"/>
    <w:rsid w:val="002F08E9"/>
    <w:rsid w:val="002F1C1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3A0"/>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9A9"/>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032"/>
    <w:rsid w:val="00353936"/>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9BA"/>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0CA"/>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D23"/>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208"/>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186"/>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4BE5"/>
    <w:rsid w:val="003F56D3"/>
    <w:rsid w:val="003F5B82"/>
    <w:rsid w:val="003F5CA0"/>
    <w:rsid w:val="003F5CFB"/>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79"/>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755"/>
    <w:rsid w:val="00447BC3"/>
    <w:rsid w:val="00447C89"/>
    <w:rsid w:val="00450214"/>
    <w:rsid w:val="00450677"/>
    <w:rsid w:val="00450E98"/>
    <w:rsid w:val="00451253"/>
    <w:rsid w:val="004515D3"/>
    <w:rsid w:val="004517AA"/>
    <w:rsid w:val="00452864"/>
    <w:rsid w:val="00452CAC"/>
    <w:rsid w:val="004531F8"/>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209E"/>
    <w:rsid w:val="0047271B"/>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293"/>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A62"/>
    <w:rsid w:val="004C2B95"/>
    <w:rsid w:val="004C30A8"/>
    <w:rsid w:val="004C3216"/>
    <w:rsid w:val="004C3898"/>
    <w:rsid w:val="004C3B35"/>
    <w:rsid w:val="004C3C55"/>
    <w:rsid w:val="004C4662"/>
    <w:rsid w:val="004C5EE9"/>
    <w:rsid w:val="004C5EF7"/>
    <w:rsid w:val="004C6623"/>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564"/>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3EA4"/>
    <w:rsid w:val="005043C3"/>
    <w:rsid w:val="00504512"/>
    <w:rsid w:val="00504B0D"/>
    <w:rsid w:val="00504D78"/>
    <w:rsid w:val="0050530D"/>
    <w:rsid w:val="00505491"/>
    <w:rsid w:val="005064AF"/>
    <w:rsid w:val="00506557"/>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4D9D"/>
    <w:rsid w:val="005251B0"/>
    <w:rsid w:val="00525884"/>
    <w:rsid w:val="00525A40"/>
    <w:rsid w:val="00526646"/>
    <w:rsid w:val="005266DD"/>
    <w:rsid w:val="00526CB0"/>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5E17"/>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6F37"/>
    <w:rsid w:val="005574AF"/>
    <w:rsid w:val="005577C0"/>
    <w:rsid w:val="00560154"/>
    <w:rsid w:val="00560C31"/>
    <w:rsid w:val="0056121F"/>
    <w:rsid w:val="00561B7A"/>
    <w:rsid w:val="00563ABE"/>
    <w:rsid w:val="00563BB8"/>
    <w:rsid w:val="00563D67"/>
    <w:rsid w:val="005644B2"/>
    <w:rsid w:val="005647E4"/>
    <w:rsid w:val="00564FBF"/>
    <w:rsid w:val="00565030"/>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A1D"/>
    <w:rsid w:val="00583F52"/>
    <w:rsid w:val="00583F8C"/>
    <w:rsid w:val="005853BE"/>
    <w:rsid w:val="00585C6A"/>
    <w:rsid w:val="00586023"/>
    <w:rsid w:val="0058638E"/>
    <w:rsid w:val="00586451"/>
    <w:rsid w:val="005870F8"/>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272"/>
    <w:rsid w:val="0059469A"/>
    <w:rsid w:val="005948C2"/>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BFB"/>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B790D"/>
    <w:rsid w:val="005C071C"/>
    <w:rsid w:val="005C0738"/>
    <w:rsid w:val="005C089D"/>
    <w:rsid w:val="005C10B3"/>
    <w:rsid w:val="005C24A6"/>
    <w:rsid w:val="005C2555"/>
    <w:rsid w:val="005C2834"/>
    <w:rsid w:val="005C2B44"/>
    <w:rsid w:val="005C2B45"/>
    <w:rsid w:val="005C37F3"/>
    <w:rsid w:val="005C415E"/>
    <w:rsid w:val="005C42CB"/>
    <w:rsid w:val="005C433B"/>
    <w:rsid w:val="005C43D1"/>
    <w:rsid w:val="005C61AC"/>
    <w:rsid w:val="005C63F1"/>
    <w:rsid w:val="005C65B6"/>
    <w:rsid w:val="005C6CA2"/>
    <w:rsid w:val="005C6E03"/>
    <w:rsid w:val="005C74FB"/>
    <w:rsid w:val="005C75B9"/>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12D"/>
    <w:rsid w:val="005E33DA"/>
    <w:rsid w:val="005E385F"/>
    <w:rsid w:val="005E3E7C"/>
    <w:rsid w:val="005E4663"/>
    <w:rsid w:val="005E4FCF"/>
    <w:rsid w:val="005E53B7"/>
    <w:rsid w:val="005E5895"/>
    <w:rsid w:val="005E5B81"/>
    <w:rsid w:val="005E6492"/>
    <w:rsid w:val="005E7122"/>
    <w:rsid w:val="005E7C0A"/>
    <w:rsid w:val="005E7EB1"/>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6B"/>
    <w:rsid w:val="006252E1"/>
    <w:rsid w:val="00625336"/>
    <w:rsid w:val="006254B7"/>
    <w:rsid w:val="00626130"/>
    <w:rsid w:val="006261B8"/>
    <w:rsid w:val="00626339"/>
    <w:rsid w:val="00626579"/>
    <w:rsid w:val="006265EE"/>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0B1"/>
    <w:rsid w:val="00644123"/>
    <w:rsid w:val="0064513F"/>
    <w:rsid w:val="00645193"/>
    <w:rsid w:val="00645482"/>
    <w:rsid w:val="00645B03"/>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814"/>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6DB"/>
    <w:rsid w:val="00690F53"/>
    <w:rsid w:val="00691A2E"/>
    <w:rsid w:val="006921F6"/>
    <w:rsid w:val="006929B2"/>
    <w:rsid w:val="00692C29"/>
    <w:rsid w:val="00692E40"/>
    <w:rsid w:val="006931AC"/>
    <w:rsid w:val="00694615"/>
    <w:rsid w:val="00694727"/>
    <w:rsid w:val="00694C87"/>
    <w:rsid w:val="0069594C"/>
    <w:rsid w:val="00695A30"/>
    <w:rsid w:val="00695C42"/>
    <w:rsid w:val="00695C71"/>
    <w:rsid w:val="00695FC2"/>
    <w:rsid w:val="006962FB"/>
    <w:rsid w:val="00696949"/>
    <w:rsid w:val="006969A8"/>
    <w:rsid w:val="00697052"/>
    <w:rsid w:val="0069730F"/>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AF4"/>
    <w:rsid w:val="006D0EF3"/>
    <w:rsid w:val="006D139D"/>
    <w:rsid w:val="006D1544"/>
    <w:rsid w:val="006D22F5"/>
    <w:rsid w:val="006D269B"/>
    <w:rsid w:val="006D2DA3"/>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71DC"/>
    <w:rsid w:val="006F796C"/>
    <w:rsid w:val="006F7B5A"/>
    <w:rsid w:val="006F7BC8"/>
    <w:rsid w:val="00700142"/>
    <w:rsid w:val="0070066A"/>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582"/>
    <w:rsid w:val="0073580E"/>
    <w:rsid w:val="007358C2"/>
    <w:rsid w:val="00736143"/>
    <w:rsid w:val="007362A6"/>
    <w:rsid w:val="007362DB"/>
    <w:rsid w:val="00736AA2"/>
    <w:rsid w:val="00736BF8"/>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BE2"/>
    <w:rsid w:val="00747D8B"/>
    <w:rsid w:val="00751228"/>
    <w:rsid w:val="00751250"/>
    <w:rsid w:val="00751C08"/>
    <w:rsid w:val="00752C50"/>
    <w:rsid w:val="007540AD"/>
    <w:rsid w:val="007543CB"/>
    <w:rsid w:val="00755EC7"/>
    <w:rsid w:val="007565C6"/>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617"/>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12"/>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BA7"/>
    <w:rsid w:val="00794C40"/>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6EC5"/>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C7C"/>
    <w:rsid w:val="007D7526"/>
    <w:rsid w:val="007D7A04"/>
    <w:rsid w:val="007E0747"/>
    <w:rsid w:val="007E252D"/>
    <w:rsid w:val="007E2FA0"/>
    <w:rsid w:val="007E34F3"/>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071"/>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59A0"/>
    <w:rsid w:val="00875BD1"/>
    <w:rsid w:val="00875CD7"/>
    <w:rsid w:val="00876329"/>
    <w:rsid w:val="0087658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B43"/>
    <w:rsid w:val="00890526"/>
    <w:rsid w:val="008907CA"/>
    <w:rsid w:val="00891245"/>
    <w:rsid w:val="008913FE"/>
    <w:rsid w:val="00891DA1"/>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906"/>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636D"/>
    <w:rsid w:val="008C6AE8"/>
    <w:rsid w:val="008C6AEA"/>
    <w:rsid w:val="008C7573"/>
    <w:rsid w:val="008C7D4E"/>
    <w:rsid w:val="008C7F2C"/>
    <w:rsid w:val="008C7F46"/>
    <w:rsid w:val="008D00F0"/>
    <w:rsid w:val="008D114A"/>
    <w:rsid w:val="008D13F8"/>
    <w:rsid w:val="008D1637"/>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CC6"/>
    <w:rsid w:val="008D6D1A"/>
    <w:rsid w:val="008E077D"/>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2CC"/>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4E1A"/>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64"/>
    <w:rsid w:val="00931BD9"/>
    <w:rsid w:val="00932130"/>
    <w:rsid w:val="0093269C"/>
    <w:rsid w:val="00932952"/>
    <w:rsid w:val="00932997"/>
    <w:rsid w:val="00932E2C"/>
    <w:rsid w:val="00933367"/>
    <w:rsid w:val="00933937"/>
    <w:rsid w:val="00933E80"/>
    <w:rsid w:val="00934396"/>
    <w:rsid w:val="009349BB"/>
    <w:rsid w:val="00935A7F"/>
    <w:rsid w:val="009408F8"/>
    <w:rsid w:val="00940A78"/>
    <w:rsid w:val="00940C0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347"/>
    <w:rsid w:val="00976949"/>
    <w:rsid w:val="00976B34"/>
    <w:rsid w:val="00976D35"/>
    <w:rsid w:val="00977A89"/>
    <w:rsid w:val="00977F6E"/>
    <w:rsid w:val="00980477"/>
    <w:rsid w:val="0098062F"/>
    <w:rsid w:val="00980C56"/>
    <w:rsid w:val="00980FAB"/>
    <w:rsid w:val="009817BF"/>
    <w:rsid w:val="00981923"/>
    <w:rsid w:val="00981A8E"/>
    <w:rsid w:val="00981FD7"/>
    <w:rsid w:val="009820F4"/>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B93"/>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37B"/>
    <w:rsid w:val="009A747D"/>
    <w:rsid w:val="009A753B"/>
    <w:rsid w:val="009A755E"/>
    <w:rsid w:val="009A783A"/>
    <w:rsid w:val="009B0D91"/>
    <w:rsid w:val="009B1244"/>
    <w:rsid w:val="009B1ADF"/>
    <w:rsid w:val="009B3104"/>
    <w:rsid w:val="009B315C"/>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09E2"/>
    <w:rsid w:val="009D111B"/>
    <w:rsid w:val="009D1829"/>
    <w:rsid w:val="009D2044"/>
    <w:rsid w:val="009D2ACB"/>
    <w:rsid w:val="009D34E4"/>
    <w:rsid w:val="009D378A"/>
    <w:rsid w:val="009D3FEA"/>
    <w:rsid w:val="009D492B"/>
    <w:rsid w:val="009D4D49"/>
    <w:rsid w:val="009D4F5A"/>
    <w:rsid w:val="009D4FF0"/>
    <w:rsid w:val="009D5044"/>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533"/>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2CDA"/>
    <w:rsid w:val="00A12E6D"/>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2E0"/>
    <w:rsid w:val="00A33041"/>
    <w:rsid w:val="00A33EF5"/>
    <w:rsid w:val="00A34314"/>
    <w:rsid w:val="00A3431B"/>
    <w:rsid w:val="00A3448A"/>
    <w:rsid w:val="00A35160"/>
    <w:rsid w:val="00A35469"/>
    <w:rsid w:val="00A35AAA"/>
    <w:rsid w:val="00A35D03"/>
    <w:rsid w:val="00A36297"/>
    <w:rsid w:val="00A36EAD"/>
    <w:rsid w:val="00A3755F"/>
    <w:rsid w:val="00A37E7B"/>
    <w:rsid w:val="00A408D4"/>
    <w:rsid w:val="00A40E1E"/>
    <w:rsid w:val="00A40F2A"/>
    <w:rsid w:val="00A419C2"/>
    <w:rsid w:val="00A41CAE"/>
    <w:rsid w:val="00A41E2B"/>
    <w:rsid w:val="00A42250"/>
    <w:rsid w:val="00A4252A"/>
    <w:rsid w:val="00A4264A"/>
    <w:rsid w:val="00A43013"/>
    <w:rsid w:val="00A4318D"/>
    <w:rsid w:val="00A43611"/>
    <w:rsid w:val="00A43E2C"/>
    <w:rsid w:val="00A43ECE"/>
    <w:rsid w:val="00A453DB"/>
    <w:rsid w:val="00A45AD5"/>
    <w:rsid w:val="00A45B74"/>
    <w:rsid w:val="00A45BB0"/>
    <w:rsid w:val="00A45ECF"/>
    <w:rsid w:val="00A460E8"/>
    <w:rsid w:val="00A462B5"/>
    <w:rsid w:val="00A4665B"/>
    <w:rsid w:val="00A4678B"/>
    <w:rsid w:val="00A469EB"/>
    <w:rsid w:val="00A469ED"/>
    <w:rsid w:val="00A46A95"/>
    <w:rsid w:val="00A47A09"/>
    <w:rsid w:val="00A47B02"/>
    <w:rsid w:val="00A50156"/>
    <w:rsid w:val="00A50422"/>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23D0"/>
    <w:rsid w:val="00A62703"/>
    <w:rsid w:val="00A62C1F"/>
    <w:rsid w:val="00A63483"/>
    <w:rsid w:val="00A64603"/>
    <w:rsid w:val="00A647D1"/>
    <w:rsid w:val="00A64DD4"/>
    <w:rsid w:val="00A65943"/>
    <w:rsid w:val="00A660AC"/>
    <w:rsid w:val="00A66720"/>
    <w:rsid w:val="00A67031"/>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B31"/>
    <w:rsid w:val="00A77175"/>
    <w:rsid w:val="00A773F0"/>
    <w:rsid w:val="00A776B4"/>
    <w:rsid w:val="00A77EC4"/>
    <w:rsid w:val="00A80633"/>
    <w:rsid w:val="00A807B8"/>
    <w:rsid w:val="00A81391"/>
    <w:rsid w:val="00A81DE6"/>
    <w:rsid w:val="00A82369"/>
    <w:rsid w:val="00A83A2E"/>
    <w:rsid w:val="00A83B47"/>
    <w:rsid w:val="00A8445F"/>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660"/>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48F"/>
    <w:rsid w:val="00AD7ABF"/>
    <w:rsid w:val="00AD7D2A"/>
    <w:rsid w:val="00AD7F22"/>
    <w:rsid w:val="00AD7F4A"/>
    <w:rsid w:val="00AE01BF"/>
    <w:rsid w:val="00AE0416"/>
    <w:rsid w:val="00AE0455"/>
    <w:rsid w:val="00AE0A60"/>
    <w:rsid w:val="00AE0D5D"/>
    <w:rsid w:val="00AE0EC4"/>
    <w:rsid w:val="00AE0F1C"/>
    <w:rsid w:val="00AE103E"/>
    <w:rsid w:val="00AE150B"/>
    <w:rsid w:val="00AE1722"/>
    <w:rsid w:val="00AE1849"/>
    <w:rsid w:val="00AE19F1"/>
    <w:rsid w:val="00AE27AC"/>
    <w:rsid w:val="00AE280F"/>
    <w:rsid w:val="00AE33DA"/>
    <w:rsid w:val="00AE34E7"/>
    <w:rsid w:val="00AE360D"/>
    <w:rsid w:val="00AE39D2"/>
    <w:rsid w:val="00AE3D3C"/>
    <w:rsid w:val="00AE3FA0"/>
    <w:rsid w:val="00AE40E0"/>
    <w:rsid w:val="00AE4DBA"/>
    <w:rsid w:val="00AE4F07"/>
    <w:rsid w:val="00AE5783"/>
    <w:rsid w:val="00AE63D5"/>
    <w:rsid w:val="00AE71F0"/>
    <w:rsid w:val="00AE7511"/>
    <w:rsid w:val="00AE7707"/>
    <w:rsid w:val="00AF001D"/>
    <w:rsid w:val="00AF0F3A"/>
    <w:rsid w:val="00AF104B"/>
    <w:rsid w:val="00AF1C5D"/>
    <w:rsid w:val="00AF1E22"/>
    <w:rsid w:val="00AF271A"/>
    <w:rsid w:val="00AF285A"/>
    <w:rsid w:val="00AF29E6"/>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5D21"/>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B83"/>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729"/>
    <w:rsid w:val="00BC67E7"/>
    <w:rsid w:val="00BC74D1"/>
    <w:rsid w:val="00BC7E98"/>
    <w:rsid w:val="00BD0073"/>
    <w:rsid w:val="00BD23AF"/>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27AC"/>
    <w:rsid w:val="00BF3279"/>
    <w:rsid w:val="00BF3F37"/>
    <w:rsid w:val="00BF4BBF"/>
    <w:rsid w:val="00BF4F8F"/>
    <w:rsid w:val="00BF512B"/>
    <w:rsid w:val="00BF51F4"/>
    <w:rsid w:val="00BF6454"/>
    <w:rsid w:val="00BF657B"/>
    <w:rsid w:val="00BF6EEA"/>
    <w:rsid w:val="00BF6FD7"/>
    <w:rsid w:val="00BF74C7"/>
    <w:rsid w:val="00C00CCF"/>
    <w:rsid w:val="00C014D9"/>
    <w:rsid w:val="00C015F1"/>
    <w:rsid w:val="00C01F33"/>
    <w:rsid w:val="00C0209C"/>
    <w:rsid w:val="00C02309"/>
    <w:rsid w:val="00C029D4"/>
    <w:rsid w:val="00C02CC6"/>
    <w:rsid w:val="00C0342D"/>
    <w:rsid w:val="00C035C2"/>
    <w:rsid w:val="00C040F7"/>
    <w:rsid w:val="00C044AB"/>
    <w:rsid w:val="00C04C9F"/>
    <w:rsid w:val="00C05248"/>
    <w:rsid w:val="00C05458"/>
    <w:rsid w:val="00C05706"/>
    <w:rsid w:val="00C06071"/>
    <w:rsid w:val="00C0625C"/>
    <w:rsid w:val="00C063D5"/>
    <w:rsid w:val="00C06C93"/>
    <w:rsid w:val="00C07144"/>
    <w:rsid w:val="00C07377"/>
    <w:rsid w:val="00C0744C"/>
    <w:rsid w:val="00C10478"/>
    <w:rsid w:val="00C1068F"/>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C4E"/>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EDE"/>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8CD"/>
    <w:rsid w:val="00C40569"/>
    <w:rsid w:val="00C4082F"/>
    <w:rsid w:val="00C40976"/>
    <w:rsid w:val="00C41535"/>
    <w:rsid w:val="00C41A3C"/>
    <w:rsid w:val="00C41D98"/>
    <w:rsid w:val="00C41EB7"/>
    <w:rsid w:val="00C43A6C"/>
    <w:rsid w:val="00C43B96"/>
    <w:rsid w:val="00C43FCC"/>
    <w:rsid w:val="00C44972"/>
    <w:rsid w:val="00C44F4B"/>
    <w:rsid w:val="00C45739"/>
    <w:rsid w:val="00C45F08"/>
    <w:rsid w:val="00C46B7B"/>
    <w:rsid w:val="00C47EED"/>
    <w:rsid w:val="00C500B5"/>
    <w:rsid w:val="00C5010D"/>
    <w:rsid w:val="00C504D3"/>
    <w:rsid w:val="00C50955"/>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7D8A"/>
    <w:rsid w:val="00C57E2F"/>
    <w:rsid w:val="00C6050B"/>
    <w:rsid w:val="00C60783"/>
    <w:rsid w:val="00C60FBD"/>
    <w:rsid w:val="00C610C4"/>
    <w:rsid w:val="00C61623"/>
    <w:rsid w:val="00C61F29"/>
    <w:rsid w:val="00C62052"/>
    <w:rsid w:val="00C6223E"/>
    <w:rsid w:val="00C62910"/>
    <w:rsid w:val="00C62B74"/>
    <w:rsid w:val="00C634E4"/>
    <w:rsid w:val="00C63540"/>
    <w:rsid w:val="00C6360A"/>
    <w:rsid w:val="00C63F84"/>
    <w:rsid w:val="00C64384"/>
    <w:rsid w:val="00C64672"/>
    <w:rsid w:val="00C654C6"/>
    <w:rsid w:val="00C65560"/>
    <w:rsid w:val="00C65765"/>
    <w:rsid w:val="00C65EBC"/>
    <w:rsid w:val="00C65F0C"/>
    <w:rsid w:val="00C6622C"/>
    <w:rsid w:val="00C66296"/>
    <w:rsid w:val="00C66472"/>
    <w:rsid w:val="00C668F7"/>
    <w:rsid w:val="00C6692D"/>
    <w:rsid w:val="00C66C33"/>
    <w:rsid w:val="00C671CA"/>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6F62"/>
    <w:rsid w:val="00C771F0"/>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550"/>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3C"/>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5053"/>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712"/>
    <w:rsid w:val="00CF687E"/>
    <w:rsid w:val="00CF743E"/>
    <w:rsid w:val="00D018A7"/>
    <w:rsid w:val="00D01A7D"/>
    <w:rsid w:val="00D01CD4"/>
    <w:rsid w:val="00D01D27"/>
    <w:rsid w:val="00D02803"/>
    <w:rsid w:val="00D0349B"/>
    <w:rsid w:val="00D038F8"/>
    <w:rsid w:val="00D04094"/>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17EA7"/>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2EC"/>
    <w:rsid w:val="00D32390"/>
    <w:rsid w:val="00D324BC"/>
    <w:rsid w:val="00D32F1F"/>
    <w:rsid w:val="00D341A0"/>
    <w:rsid w:val="00D3467D"/>
    <w:rsid w:val="00D352F6"/>
    <w:rsid w:val="00D36558"/>
    <w:rsid w:val="00D367D3"/>
    <w:rsid w:val="00D36B01"/>
    <w:rsid w:val="00D36E71"/>
    <w:rsid w:val="00D36F36"/>
    <w:rsid w:val="00D37053"/>
    <w:rsid w:val="00D3771F"/>
    <w:rsid w:val="00D37D87"/>
    <w:rsid w:val="00D40629"/>
    <w:rsid w:val="00D40B33"/>
    <w:rsid w:val="00D4102D"/>
    <w:rsid w:val="00D417B1"/>
    <w:rsid w:val="00D41A3F"/>
    <w:rsid w:val="00D41ADF"/>
    <w:rsid w:val="00D42335"/>
    <w:rsid w:val="00D4318F"/>
    <w:rsid w:val="00D4329B"/>
    <w:rsid w:val="00D434F3"/>
    <w:rsid w:val="00D43593"/>
    <w:rsid w:val="00D438BF"/>
    <w:rsid w:val="00D440F8"/>
    <w:rsid w:val="00D446BC"/>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4A6"/>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656"/>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0FF6"/>
    <w:rsid w:val="00D81017"/>
    <w:rsid w:val="00D8178B"/>
    <w:rsid w:val="00D823C6"/>
    <w:rsid w:val="00D83315"/>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19EA"/>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500"/>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D1E"/>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8BE"/>
    <w:rsid w:val="00E419BA"/>
    <w:rsid w:val="00E41B61"/>
    <w:rsid w:val="00E41ECB"/>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12"/>
    <w:rsid w:val="00E53B75"/>
    <w:rsid w:val="00E5410D"/>
    <w:rsid w:val="00E543D1"/>
    <w:rsid w:val="00E54E3B"/>
    <w:rsid w:val="00E55BAF"/>
    <w:rsid w:val="00E55C28"/>
    <w:rsid w:val="00E55C2C"/>
    <w:rsid w:val="00E5616D"/>
    <w:rsid w:val="00E570AD"/>
    <w:rsid w:val="00E57565"/>
    <w:rsid w:val="00E579A7"/>
    <w:rsid w:val="00E604CE"/>
    <w:rsid w:val="00E6114E"/>
    <w:rsid w:val="00E618B3"/>
    <w:rsid w:val="00E61B94"/>
    <w:rsid w:val="00E61F17"/>
    <w:rsid w:val="00E622FB"/>
    <w:rsid w:val="00E62374"/>
    <w:rsid w:val="00E629CA"/>
    <w:rsid w:val="00E63838"/>
    <w:rsid w:val="00E64434"/>
    <w:rsid w:val="00E6485E"/>
    <w:rsid w:val="00E64D8B"/>
    <w:rsid w:val="00E6515D"/>
    <w:rsid w:val="00E65502"/>
    <w:rsid w:val="00E65D80"/>
    <w:rsid w:val="00E65EC5"/>
    <w:rsid w:val="00E66A77"/>
    <w:rsid w:val="00E66A97"/>
    <w:rsid w:val="00E67C51"/>
    <w:rsid w:val="00E67C6C"/>
    <w:rsid w:val="00E67E5D"/>
    <w:rsid w:val="00E703CA"/>
    <w:rsid w:val="00E70E4F"/>
    <w:rsid w:val="00E71515"/>
    <w:rsid w:val="00E71A10"/>
    <w:rsid w:val="00E71B86"/>
    <w:rsid w:val="00E72EFC"/>
    <w:rsid w:val="00E7387C"/>
    <w:rsid w:val="00E7456D"/>
    <w:rsid w:val="00E749C9"/>
    <w:rsid w:val="00E74F42"/>
    <w:rsid w:val="00E751EB"/>
    <w:rsid w:val="00E758EC"/>
    <w:rsid w:val="00E75B4D"/>
    <w:rsid w:val="00E76421"/>
    <w:rsid w:val="00E7776E"/>
    <w:rsid w:val="00E77CE1"/>
    <w:rsid w:val="00E8025C"/>
    <w:rsid w:val="00E80928"/>
    <w:rsid w:val="00E80A5A"/>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57C"/>
    <w:rsid w:val="00EC6F39"/>
    <w:rsid w:val="00EC71CE"/>
    <w:rsid w:val="00EC7858"/>
    <w:rsid w:val="00ED00DD"/>
    <w:rsid w:val="00ED1006"/>
    <w:rsid w:val="00ED27F9"/>
    <w:rsid w:val="00ED294D"/>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D18"/>
    <w:rsid w:val="00EE4346"/>
    <w:rsid w:val="00EE52C1"/>
    <w:rsid w:val="00EE53FF"/>
    <w:rsid w:val="00EE593B"/>
    <w:rsid w:val="00EE5DF5"/>
    <w:rsid w:val="00EE662C"/>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2FFE"/>
    <w:rsid w:val="00F13364"/>
    <w:rsid w:val="00F1354B"/>
    <w:rsid w:val="00F135D2"/>
    <w:rsid w:val="00F13946"/>
    <w:rsid w:val="00F151AF"/>
    <w:rsid w:val="00F15491"/>
    <w:rsid w:val="00F15FA5"/>
    <w:rsid w:val="00F161DA"/>
    <w:rsid w:val="00F163C6"/>
    <w:rsid w:val="00F1664B"/>
    <w:rsid w:val="00F168FA"/>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215F"/>
    <w:rsid w:val="00F429E8"/>
    <w:rsid w:val="00F434C6"/>
    <w:rsid w:val="00F43D4A"/>
    <w:rsid w:val="00F43F65"/>
    <w:rsid w:val="00F4469F"/>
    <w:rsid w:val="00F457DA"/>
    <w:rsid w:val="00F468C8"/>
    <w:rsid w:val="00F4766C"/>
    <w:rsid w:val="00F477F2"/>
    <w:rsid w:val="00F507CC"/>
    <w:rsid w:val="00F507D1"/>
    <w:rsid w:val="00F50984"/>
    <w:rsid w:val="00F5103C"/>
    <w:rsid w:val="00F514A1"/>
    <w:rsid w:val="00F517C5"/>
    <w:rsid w:val="00F519CE"/>
    <w:rsid w:val="00F51ADA"/>
    <w:rsid w:val="00F51C70"/>
    <w:rsid w:val="00F52496"/>
    <w:rsid w:val="00F527D0"/>
    <w:rsid w:val="00F528D3"/>
    <w:rsid w:val="00F52988"/>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E9E"/>
    <w:rsid w:val="00F85F8F"/>
    <w:rsid w:val="00F86516"/>
    <w:rsid w:val="00F868F5"/>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28"/>
    <w:rsid w:val="00FA55BB"/>
    <w:rsid w:val="00FA6C4A"/>
    <w:rsid w:val="00FA6E5B"/>
    <w:rsid w:val="00FA7109"/>
    <w:rsid w:val="00FA7755"/>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A5D"/>
    <w:rsid w:val="00FC0B9E"/>
    <w:rsid w:val="00FC14EC"/>
    <w:rsid w:val="00FC186B"/>
    <w:rsid w:val="00FC1DCB"/>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EC8"/>
    <w:rsid w:val="00FD1F0A"/>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BF8"/>
    <w:pPr>
      <w:spacing w:after="160" w:line="259" w:lineRule="auto"/>
    </w:pPr>
    <w:rPr>
      <w:rFonts w:ascii="Times New Roman" w:eastAsiaTheme="minorHAnsi" w:hAnsi="Times New Roman"/>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202E8"/>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36B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6BF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736BF8"/>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36BF8"/>
    <w:rPr>
      <w:rFonts w:ascii="Times New Roman" w:eastAsia="Calibri" w:hAnsi="Times New Roman"/>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line="240" w:lineRule="auto"/>
      <w:textAlignment w:val="baseline"/>
    </w:pPr>
    <w:rPr>
      <w:rFonts w:eastAsia="MS Mincho"/>
      <w:sz w:val="24"/>
      <w:szCs w:val="20"/>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rPr>
      <w:rFonts w:ascii="Arial" w:hAnsi="Arial"/>
      <w:sz w:val="20"/>
      <w:lang w:val="en-GB"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2"/>
      </w:numPr>
      <w:tabs>
        <w:tab w:val="left" w:pos="1701"/>
      </w:tabs>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3531475">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BalaEX\AppData\Local\Temp\Docs\R1-21106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BalaEX\AppData\Local\Temp\Docs\R1-211059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2.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1598</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2021-11-04T23:24:00Z</dcterms:created>
  <dcterms:modified xsi:type="dcterms:W3CDTF">2021-11-05T20:06:00Z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